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52070</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6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64135</wp:posOffset>
            </wp:positionV>
            <wp:extent cx="2108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9" w:lineRule="exact"/>
        <w:rPr>
          <w:rFonts w:ascii="MS PGothic" w:cs="MS PGothic" w:eastAsia="MS PGothic" w:hAnsi="MS PGothic"/>
          <w:sz w:val="18"/>
          <w:szCs w:val="18"/>
          <w:color w:val="auto"/>
          <w:highlight w:val="black"/>
        </w:rPr>
      </w:pPr>
    </w:p>
    <w:p>
      <w:pPr>
        <w:ind w:left="41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fiscal year ended December 31, 2022</w:t>
      </w:r>
    </w:p>
    <w:p>
      <w:pPr>
        <w:spacing w:after="0" w:line="4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66" w:lineRule="exact"/>
        <w:rPr>
          <w:rFonts w:ascii="MS PGothic" w:cs="MS PGothic" w:eastAsia="MS PGothic" w:hAnsi="MS PGothic"/>
          <w:sz w:val="18"/>
          <w:szCs w:val="18"/>
          <w:color w:val="auto"/>
          <w:highlight w:val="black"/>
        </w:rPr>
      </w:pPr>
    </w:p>
    <w:p>
      <w:pPr>
        <w:ind w:left="480" w:hanging="459"/>
        <w:spacing w:after="0"/>
        <w:tabs>
          <w:tab w:leader="none" w:pos="48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480"/>
        <w:spacing w:after="0"/>
        <w:tabs>
          <w:tab w:leader="none" w:pos="31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62865</wp:posOffset>
            </wp:positionV>
            <wp:extent cx="210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84" w:lineRule="exact"/>
        <w:rPr>
          <w:sz w:val="24"/>
          <w:szCs w:val="24"/>
          <w:color w:val="auto"/>
        </w:rPr>
      </w:pPr>
    </w:p>
    <w:tbl>
      <w:tblPr>
        <w:tblLayout w:type="fixed"/>
        <w:tblInd w:w="1620" w:type="dxa"/>
        <w:tblCellMar>
          <w:top w:w="0" w:type="dxa"/>
          <w:left w:w="0" w:type="dxa"/>
          <w:bottom w:w="0" w:type="dxa"/>
          <w:right w:w="0" w:type="dxa"/>
        </w:tblCellMar>
      </w:tblPr>
      <w:tr>
        <w:trPr>
          <w:trHeight w:val="465"/>
        </w:trPr>
        <w:tc>
          <w:tcPr>
            <w:tcW w:w="2340" w:type="dxa"/>
            <w:vAlign w:val="bottom"/>
          </w:tcPr>
          <w:p>
            <w:pPr>
              <w:spacing w:after="0"/>
              <w:rPr>
                <w:sz w:val="24"/>
                <w:szCs w:val="24"/>
                <w:color w:val="auto"/>
              </w:rPr>
            </w:pPr>
          </w:p>
        </w:tc>
        <w:tc>
          <w:tcPr>
            <w:tcW w:w="3700" w:type="dxa"/>
            <w:vAlign w:val="bottom"/>
            <w:gridSpan w:val="2"/>
          </w:tcPr>
          <w:p>
            <w:pPr>
              <w:jc w:val="center"/>
              <w:ind w:right="360"/>
              <w:spacing w:after="0"/>
              <w:rPr>
                <w:sz w:val="20"/>
                <w:szCs w:val="20"/>
                <w:color w:val="auto"/>
              </w:rPr>
            </w:pPr>
            <w:r>
              <w:rPr>
                <w:rFonts w:ascii="Times New Roman" w:cs="Times New Roman" w:eastAsia="Times New Roman" w:hAnsi="Times New Roman"/>
                <w:sz w:val="38"/>
                <w:szCs w:val="38"/>
                <w:b w:val="1"/>
                <w:bCs w:val="1"/>
                <w:color w:val="auto"/>
                <w:w w:val="99"/>
              </w:rPr>
              <w:t>SiTime Corporation</w:t>
            </w:r>
          </w:p>
        </w:tc>
        <w:tc>
          <w:tcPr>
            <w:tcW w:w="1340" w:type="dxa"/>
            <w:vAlign w:val="bottom"/>
          </w:tcPr>
          <w:p>
            <w:pPr>
              <w:spacing w:after="0"/>
              <w:rPr>
                <w:sz w:val="24"/>
                <w:szCs w:val="24"/>
                <w:color w:val="auto"/>
              </w:rPr>
            </w:pPr>
          </w:p>
        </w:tc>
      </w:tr>
      <w:tr>
        <w:trPr>
          <w:trHeight w:val="212"/>
        </w:trPr>
        <w:tc>
          <w:tcPr>
            <w:tcW w:w="6040" w:type="dxa"/>
            <w:vAlign w:val="bottom"/>
            <w:gridSpan w:val="3"/>
          </w:tcPr>
          <w:p>
            <w:pPr>
              <w:jc w:val="center"/>
              <w:ind w:left="1842"/>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340" w:type="dxa"/>
            <w:vAlign w:val="bottom"/>
          </w:tcPr>
          <w:p>
            <w:pPr>
              <w:spacing w:after="0"/>
              <w:rPr>
                <w:sz w:val="18"/>
                <w:szCs w:val="18"/>
                <w:color w:val="auto"/>
              </w:rPr>
            </w:pPr>
          </w:p>
        </w:tc>
      </w:tr>
      <w:tr>
        <w:trPr>
          <w:trHeight w:val="60"/>
        </w:trPr>
        <w:tc>
          <w:tcPr>
            <w:tcW w:w="2340" w:type="dxa"/>
            <w:vAlign w:val="bottom"/>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64"/>
        </w:trPr>
        <w:tc>
          <w:tcPr>
            <w:tcW w:w="6040" w:type="dxa"/>
            <w:vAlign w:val="bottom"/>
            <w:gridSpan w:val="3"/>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rPr>
              <w:t>02-0713868</w:t>
            </w:r>
          </w:p>
        </w:tc>
      </w:tr>
      <w:tr>
        <w:trPr>
          <w:trHeight w:val="151"/>
        </w:trPr>
        <w:tc>
          <w:tcPr>
            <w:tcW w:w="6040" w:type="dxa"/>
            <w:vAlign w:val="bottom"/>
            <w:gridSpan w:val="3"/>
          </w:tcPr>
          <w:p>
            <w:pPr>
              <w:jc w:val="center"/>
              <w:ind w:right="364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43"/>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4"/>
        </w:trPr>
        <w:tc>
          <w:tcPr>
            <w:tcW w:w="6040" w:type="dxa"/>
            <w:vAlign w:val="bottom"/>
            <w:gridSpan w:val="3"/>
          </w:tcPr>
          <w:p>
            <w:pPr>
              <w:jc w:val="center"/>
              <w:ind w:right="36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03"/>
        </w:trPr>
        <w:tc>
          <w:tcPr>
            <w:tcW w:w="604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5451 Patrick Henry Drive</w:t>
            </w:r>
          </w:p>
        </w:tc>
        <w:tc>
          <w:tcPr>
            <w:tcW w:w="1340" w:type="dxa"/>
            <w:vAlign w:val="bottom"/>
          </w:tcPr>
          <w:p>
            <w:pPr>
              <w:spacing w:after="0"/>
              <w:rPr>
                <w:sz w:val="17"/>
                <w:szCs w:val="17"/>
                <w:color w:val="auto"/>
              </w:rPr>
            </w:pPr>
          </w:p>
        </w:tc>
      </w:tr>
      <w:tr>
        <w:trPr>
          <w:trHeight w:val="212"/>
        </w:trPr>
        <w:tc>
          <w:tcPr>
            <w:tcW w:w="6040" w:type="dxa"/>
            <w:vAlign w:val="bottom"/>
            <w:gridSpan w:val="3"/>
          </w:tcPr>
          <w:p>
            <w:pPr>
              <w:jc w:val="center"/>
              <w:ind w:right="3660"/>
              <w:spacing w:after="0"/>
              <w:rPr>
                <w:sz w:val="20"/>
                <w:szCs w:val="20"/>
                <w:color w:val="auto"/>
              </w:rPr>
            </w:pPr>
            <w:r>
              <w:rPr>
                <w:rFonts w:ascii="Times New Roman" w:cs="Times New Roman" w:eastAsia="Times New Roman" w:hAnsi="Times New Roman"/>
                <w:sz w:val="16"/>
                <w:szCs w:val="16"/>
                <w:b w:val="1"/>
                <w:bCs w:val="1"/>
                <w:color w:val="auto"/>
              </w:rPr>
              <w:t>Santa Clara, CA</w:t>
            </w:r>
          </w:p>
        </w:tc>
        <w:tc>
          <w:tcPr>
            <w:tcW w:w="134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95054</w:t>
            </w:r>
          </w:p>
        </w:tc>
      </w:tr>
      <w:tr>
        <w:trPr>
          <w:trHeight w:val="198"/>
        </w:trPr>
        <w:tc>
          <w:tcPr>
            <w:tcW w:w="6040" w:type="dxa"/>
            <w:vAlign w:val="bottom"/>
            <w:gridSpan w:val="3"/>
          </w:tcPr>
          <w:p>
            <w:pPr>
              <w:jc w:val="center"/>
              <w:ind w:right="3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23"/>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62865</wp:posOffset>
            </wp:positionV>
            <wp:extent cx="2108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spacing w:after="0"/>
              <w:rPr>
                <w:sz w:val="16"/>
                <w:szCs w:val="16"/>
                <w:color w:val="auto"/>
              </w:rPr>
            </w:pPr>
          </w:p>
        </w:tc>
      </w:tr>
      <w:tr>
        <w:trPr>
          <w:trHeight w:val="19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7"/>
                <w:szCs w:val="17"/>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SITM</w:t>
            </w:r>
          </w:p>
        </w:tc>
        <w:tc>
          <w:tcPr>
            <w:tcW w:w="12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Pr>
          <w:p>
            <w:pPr>
              <w:spacing w:after="0"/>
              <w:rPr>
                <w:sz w:val="16"/>
                <w:szCs w:val="16"/>
                <w:color w:val="auto"/>
              </w:rPr>
            </w:pPr>
          </w:p>
        </w:tc>
      </w:tr>
    </w:tbl>
    <w:p>
      <w:pPr>
        <w:ind w:right="3540"/>
        <w:spacing w:after="0" w:line="21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40"/>
        <w:spacing w:after="0" w:line="25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52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52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58"/>
        </w:trPr>
        <w:tc>
          <w:tcPr>
            <w:tcW w:w="1066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w:t>
            </w:r>
          </w:p>
        </w:tc>
        <w:tc>
          <w:tcPr>
            <w:tcW w:w="500" w:type="dxa"/>
            <w:vAlign w:val="bottom"/>
          </w:tcPr>
          <w:p>
            <w:pPr>
              <w:spacing w:after="0"/>
              <w:rPr>
                <w:sz w:val="13"/>
                <w:szCs w:val="13"/>
                <w:color w:val="auto"/>
              </w:rPr>
            </w:pPr>
          </w:p>
        </w:tc>
      </w:tr>
      <w:tr>
        <w:trPr>
          <w:trHeight w:val="207"/>
        </w:trPr>
        <w:tc>
          <w:tcPr>
            <w:tcW w:w="732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revised financial accounting standards provided pursuant to Section 13(a) of the Exchange Act. </w:t>
            </w:r>
            <w:r>
              <w:rPr>
                <w:rFonts w:ascii="MS PGothic" w:cs="MS PGothic" w:eastAsia="MS PGothic" w:hAnsi="MS PGothic"/>
                <w:sz w:val="14"/>
                <w:szCs w:val="14"/>
                <w:color w:val="auto"/>
              </w:rPr>
              <w:t>☐</w:t>
            </w:r>
          </w:p>
        </w:tc>
        <w:tc>
          <w:tcPr>
            <w:tcW w:w="33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88"/>
        </w:trPr>
        <w:tc>
          <w:tcPr>
            <w:tcW w:w="10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w:t>
            </w:r>
          </w:p>
        </w:tc>
        <w:tc>
          <w:tcPr>
            <w:tcW w:w="500" w:type="dxa"/>
            <w:vAlign w:val="bottom"/>
          </w:tcPr>
          <w:p>
            <w:pPr>
              <w:spacing w:after="0"/>
              <w:rPr>
                <w:sz w:val="16"/>
                <w:szCs w:val="16"/>
                <w:color w:val="auto"/>
              </w:rPr>
            </w:pPr>
          </w:p>
        </w:tc>
      </w:tr>
      <w:tr>
        <w:trPr>
          <w:trHeight w:val="166"/>
        </w:trPr>
        <w:tc>
          <w:tcPr>
            <w:tcW w:w="10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over financial reporting under Section 404(b) of the Sarbanes-Oxley Act (15 U.S.C. 7262(b)) by the registered public accounting firm that prepared or issued</w:t>
            </w:r>
          </w:p>
        </w:tc>
        <w:tc>
          <w:tcPr>
            <w:tcW w:w="500" w:type="dxa"/>
            <w:vAlign w:val="bottom"/>
          </w:tcPr>
          <w:p>
            <w:pPr>
              <w:spacing w:after="0"/>
              <w:rPr>
                <w:sz w:val="14"/>
                <w:szCs w:val="14"/>
                <w:color w:val="auto"/>
              </w:rPr>
            </w:pPr>
          </w:p>
        </w:tc>
      </w:tr>
      <w:tr>
        <w:trPr>
          <w:trHeight w:val="185"/>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its audit report.</w:t>
            </w:r>
          </w:p>
        </w:tc>
        <w:tc>
          <w:tcPr>
            <w:tcW w:w="5280" w:type="dxa"/>
            <w:vAlign w:val="bottom"/>
          </w:tcPr>
          <w:p>
            <w:pPr>
              <w:spacing w:after="0"/>
              <w:rPr>
                <w:sz w:val="16"/>
                <w:szCs w:val="16"/>
                <w:color w:val="auto"/>
              </w:rPr>
            </w:pPr>
          </w:p>
        </w:tc>
        <w:tc>
          <w:tcPr>
            <w:tcW w:w="3340" w:type="dxa"/>
            <w:vAlign w:val="bottom"/>
          </w:tcPr>
          <w:p>
            <w:pPr>
              <w:ind w:left="212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spacing w:after="0"/>
              <w:rPr>
                <w:sz w:val="16"/>
                <w:szCs w:val="16"/>
                <w:color w:val="auto"/>
              </w:rPr>
            </w:pPr>
          </w:p>
        </w:tc>
      </w:tr>
      <w:tr>
        <w:trPr>
          <w:trHeight w:val="144"/>
        </w:trPr>
        <w:tc>
          <w:tcPr>
            <w:tcW w:w="1066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w:t>
            </w:r>
          </w:p>
        </w:tc>
        <w:tc>
          <w:tcPr>
            <w:tcW w:w="500" w:type="dxa"/>
            <w:vAlign w:val="bottom"/>
          </w:tcPr>
          <w:p>
            <w:pPr>
              <w:spacing w:after="0"/>
              <w:rPr>
                <w:sz w:val="12"/>
                <w:szCs w:val="12"/>
                <w:color w:val="auto"/>
              </w:rPr>
            </w:pPr>
          </w:p>
        </w:tc>
      </w:tr>
      <w:tr>
        <w:trPr>
          <w:trHeight w:val="180"/>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reflect the correction of an error to previously issued financial statements.</w:t>
            </w:r>
          </w:p>
        </w:tc>
        <w:tc>
          <w:tcPr>
            <w:tcW w:w="3340" w:type="dxa"/>
            <w:vAlign w:val="bottom"/>
          </w:tcPr>
          <w:p>
            <w:pPr>
              <w:ind w:left="214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spacing w:after="0"/>
              <w:rPr>
                <w:sz w:val="15"/>
                <w:szCs w:val="15"/>
                <w:color w:val="auto"/>
              </w:rPr>
            </w:pPr>
          </w:p>
        </w:tc>
      </w:tr>
      <w:tr>
        <w:trPr>
          <w:trHeight w:val="144"/>
        </w:trPr>
        <w:tc>
          <w:tcPr>
            <w:tcW w:w="1066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w:t>
            </w:r>
          </w:p>
        </w:tc>
        <w:tc>
          <w:tcPr>
            <w:tcW w:w="500" w:type="dxa"/>
            <w:vAlign w:val="bottom"/>
          </w:tcPr>
          <w:p>
            <w:pPr>
              <w:spacing w:after="0"/>
              <w:rPr>
                <w:sz w:val="12"/>
                <w:szCs w:val="12"/>
                <w:color w:val="auto"/>
              </w:rPr>
            </w:pPr>
          </w:p>
        </w:tc>
      </w:tr>
      <w:tr>
        <w:trPr>
          <w:trHeight w:val="226"/>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any of the registrant’s executive ff icers during the relevant recovery period pursuant to §240.10D-1(b).</w:t>
            </w:r>
          </w:p>
        </w:tc>
        <w:tc>
          <w:tcPr>
            <w:tcW w:w="3340" w:type="dxa"/>
            <w:vAlign w:val="bottom"/>
          </w:tcPr>
          <w:p>
            <w:pPr>
              <w:ind w:left="212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spacing w:after="0"/>
              <w:rPr>
                <w:sz w:val="19"/>
                <w:szCs w:val="19"/>
                <w:color w:val="auto"/>
              </w:rPr>
            </w:pPr>
          </w:p>
        </w:tc>
      </w:tr>
    </w:tbl>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0" w:lineRule="exact"/>
        <w:rPr>
          <w:sz w:val="24"/>
          <w:szCs w:val="24"/>
          <w:color w:val="auto"/>
        </w:rPr>
      </w:pPr>
    </w:p>
    <w:p>
      <w:pPr>
        <w:ind w:right="400"/>
        <w:spacing w:after="0" w:line="250"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based on the last reported sale of the common stock on June 30, 2022, on the Nasdaq Global Market, was $2,402,136,679 based on the closing price of the registrant’s common stock on such date of $163.03 per share.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9, 2023 was 21,701,624.</w:t>
      </w:r>
    </w:p>
    <w:p>
      <w:pPr>
        <w:spacing w:after="0" w:line="1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8"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4"/>
          <w:szCs w:val="14"/>
          <w:color w:val="auto"/>
        </w:rPr>
        <w:t>Part III incorporates by reference certain information from the registrant’s definitive proxy statement for the 2023 Annual Meeting of Stockholders to be filed no later than 120 days after the conclusion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345440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75"/>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28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75"/>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75"/>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2" w:name="page3"/>
    <w:bookmarkEnd w:id="2"/>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information in this Annual Report on Form 10-K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81" w:lineRule="exact"/>
        <w:rPr>
          <w:sz w:val="20"/>
          <w:szCs w:val="20"/>
          <w:color w:val="auto"/>
        </w:rPr>
      </w:pPr>
    </w:p>
    <w:p>
      <w:pPr>
        <w:ind w:left="760" w:right="2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focus on oscillators, clock ICs, resonators and timing synchronization solutions and to aggressively expand our presence in these markets;</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address market and customer demands and to timely develop new or enhanced solutions to meet those demands;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challenges and growth in our business and the markets in which we operate, including pricing expectations;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average selling prices, gross margin, and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macroeconomic events in 2023;</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dependence on a limited number of customers and end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relationships and our ability to retain and expand our customer relationships and to achieve design wins;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success, cost, and timing of new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solutions, and our ability to serve and expand our presence in those markets;</w:t>
      </w:r>
    </w:p>
    <w:p>
      <w:pPr>
        <w:spacing w:after="0" w:line="117"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expand sales and marketing efforts through increased collaboration with our distributors and contracted sales representatives, and our plans to grow direct online sales through our self-service online store;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to identify new customers and deliver differentiated precision timing solutions to them through digital marketing strategies;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3" w:name="page4"/>
    <w:bookmarkEnd w:id="3"/>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to become the leading provider of precision timing solutions for advanced and challenging applications;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positioning of being designed into current systems as well as future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advanced packaging designs can enable the smallest footprints in the industry;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competition in our existing and future markets;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will have on our business, employees, revenue and other operating results, liquidity, and cash flows, and its impact on the businesses of our suppliers and customers, and our anticipated responses thereto;</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performance of, and our relationships with, our third-party suppliers and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and our customers’ ability to respond successfully to technological or industry developments;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attract and retain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intellectual property and related litigation;</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the sufficiency of our existing cash and cash equivalents and short-term investments funds meet our cash needs for at least the next 12 months and our future capital requirements over the longer term;</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our leased facilities;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capital requirements, and needs for additional financing.</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the “Risk Factor Summary” below and under Item 1.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18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more fully described in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18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have harmed and may continue to harm our business;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w:t>
      </w:r>
    </w:p>
    <w:p>
      <w:pPr>
        <w:spacing w:after="0" w:line="117" w:lineRule="exact"/>
        <w:rPr>
          <w:rFonts w:ascii="Times New Roman" w:cs="Times New Roman" w:eastAsia="Times New Roman" w:hAnsi="Times New Roman"/>
          <w:sz w:val="18"/>
          <w:szCs w:val="18"/>
          <w:color w:val="auto"/>
        </w:rPr>
      </w:pPr>
    </w:p>
    <w:p>
      <w:pPr>
        <w:ind w:left="760" w:right="8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 w:name="page5"/>
    <w:bookmarkEnd w:id="4"/>
    <w:p>
      <w:pPr>
        <w:ind w:left="380" w:right="24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typically have long-term purchase commitments with our customers, and orders may be cancelled, reduced, or rescheduled with little or no notice, which in turn exposes us to inventory risk, and may cause our business and results of operations to suffer;</w:t>
      </w:r>
    </w:p>
    <w:p>
      <w:pPr>
        <w:spacing w:after="0" w:line="53" w:lineRule="exact"/>
        <w:rPr>
          <w:rFonts w:ascii="Times New Roman" w:cs="Times New Roman" w:eastAsia="Times New Roman" w:hAnsi="Times New Roman"/>
          <w:sz w:val="18"/>
          <w:szCs w:val="18"/>
          <w:color w:val="auto"/>
        </w:rPr>
      </w:pPr>
    </w:p>
    <w:p>
      <w:pPr>
        <w:ind w:left="380" w:right="40" w:hanging="37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71"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operations is located outside of the United States, which subjects us to additional risks, including increased complexity and costs of managing international operations and geopolitical instability;</w:t>
      </w:r>
    </w:p>
    <w:p>
      <w:pPr>
        <w:spacing w:after="0" w:line="53" w:lineRule="exact"/>
        <w:rPr>
          <w:rFonts w:ascii="Times New Roman" w:cs="Times New Roman" w:eastAsia="Times New Roman" w:hAnsi="Times New Roman"/>
          <w:sz w:val="18"/>
          <w:szCs w:val="18"/>
          <w:color w:val="auto"/>
        </w:rPr>
      </w:pPr>
    </w:p>
    <w:p>
      <w:pPr>
        <w:ind w:left="380" w:right="14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the COVID-19 pandemic on our business as well as our suppliers and customers, and product warranty claims. This in turn could cause our stock price to decline;</w:t>
      </w:r>
    </w:p>
    <w:p>
      <w:pPr>
        <w:spacing w:after="0" w:line="75"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53" w:lineRule="exact"/>
        <w:rPr>
          <w:rFonts w:ascii="Times New Roman" w:cs="Times New Roman" w:eastAsia="Times New Roman" w:hAnsi="Times New Roman"/>
          <w:sz w:val="18"/>
          <w:szCs w:val="18"/>
          <w:color w:val="auto"/>
        </w:rPr>
      </w:pPr>
    </w:p>
    <w:p>
      <w:pPr>
        <w:ind w:left="380" w:right="42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successfully introduce and ship in volume new products in a timely manner, our business and revenue will suffer;</w:t>
      </w:r>
    </w:p>
    <w:p>
      <w:pPr>
        <w:spacing w:after="0" w:line="117" w:lineRule="exact"/>
        <w:rPr>
          <w:rFonts w:ascii="Times New Roman" w:cs="Times New Roman" w:eastAsia="Times New Roman" w:hAnsi="Times New Roman"/>
          <w:sz w:val="18"/>
          <w:szCs w:val="18"/>
          <w:color w:val="auto"/>
        </w:rPr>
      </w:pPr>
    </w:p>
    <w:p>
      <w:pPr>
        <w:ind w:left="380" w:right="12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uncertainty related to the ongoing COVID-19 pandemic could adversely impact our business, results of operations and financial condition, as well as the businesses of our suppliers and customers;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margins may fluctuate due to a variety of factors, which could negatively impact our results of operations and our financial condition;</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in recent periods may not be indicative of future performance and our revenue may fluctuate over time;</w:t>
      </w:r>
    </w:p>
    <w:p>
      <w:pPr>
        <w:spacing w:after="0" w:line="117" w:lineRule="exact"/>
        <w:rPr>
          <w:rFonts w:ascii="Times New Roman" w:cs="Times New Roman" w:eastAsia="Times New Roman" w:hAnsi="Times New Roman"/>
          <w:sz w:val="18"/>
          <w:szCs w:val="18"/>
          <w:color w:val="auto"/>
        </w:rPr>
      </w:pPr>
    </w:p>
    <w:p>
      <w:pPr>
        <w:jc w:val="both"/>
        <w:ind w:left="380" w:right="36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67" w:lineRule="exact"/>
        <w:rPr>
          <w:rFonts w:ascii="Times New Roman" w:cs="Times New Roman" w:eastAsia="Times New Roman" w:hAnsi="Times New Roman"/>
          <w:sz w:val="18"/>
          <w:szCs w:val="18"/>
          <w:color w:val="auto"/>
        </w:rPr>
      </w:pPr>
    </w:p>
    <w:p>
      <w:pPr>
        <w:ind w:left="380" w:right="36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our products could harm our relationships with our customers and damage our reputation;</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compete effectively, we may lose or fail to gain market share, which could negatively impact our operating results and our business;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accurately predict our future capital needs, and we may not be able to obtain additional financing to fund our operations;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or be required to seek debt financing in the immediate or near term;</w:t>
      </w:r>
    </w:p>
    <w:p>
      <w:pPr>
        <w:spacing w:after="0" w:line="117" w:lineRule="exact"/>
        <w:rPr>
          <w:rFonts w:ascii="Times New Roman" w:cs="Times New Roman" w:eastAsia="Times New Roman" w:hAnsi="Times New Roman"/>
          <w:sz w:val="18"/>
          <w:szCs w:val="18"/>
          <w:color w:val="auto"/>
        </w:rPr>
      </w:pPr>
    </w:p>
    <w:p>
      <w:pPr>
        <w:ind w:left="380" w:right="24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significant tariffs or other trade restrictions are placed on our products or third-party suppliers, our revenue and results of operations may be materially harmed;</w:t>
      </w:r>
    </w:p>
    <w:p>
      <w:pPr>
        <w:spacing w:after="0" w:line="53" w:lineRule="exact"/>
        <w:rPr>
          <w:rFonts w:ascii="Times New Roman" w:cs="Times New Roman" w:eastAsia="Times New Roman" w:hAnsi="Times New Roman"/>
          <w:sz w:val="18"/>
          <w:szCs w:val="18"/>
          <w:color w:val="auto"/>
        </w:rPr>
      </w:pPr>
    </w:p>
    <w:p>
      <w:pPr>
        <w:ind w:left="380" w:right="64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laws associated with our activities outside of the United States could subject us to penalties and other adverse consequences;</w:t>
      </w:r>
    </w:p>
    <w:p>
      <w:pPr>
        <w:spacing w:after="0" w:line="53" w:lineRule="exact"/>
        <w:rPr>
          <w:rFonts w:ascii="Times New Roman" w:cs="Times New Roman" w:eastAsia="Times New Roman" w:hAnsi="Times New Roman"/>
          <w:sz w:val="18"/>
          <w:szCs w:val="18"/>
          <w:color w:val="auto"/>
        </w:rPr>
      </w:pPr>
    </w:p>
    <w:p>
      <w:pPr>
        <w:ind w:left="380" w:right="22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regulation, including import, export and economic sanctions laws and regulations that may expose us to liability and increase our costs;</w:t>
      </w:r>
    </w:p>
    <w:p>
      <w:pPr>
        <w:spacing w:after="0" w:line="53" w:lineRule="exact"/>
        <w:rPr>
          <w:rFonts w:ascii="Times New Roman" w:cs="Times New Roman" w:eastAsia="Times New Roman" w:hAnsi="Times New Roman"/>
          <w:sz w:val="18"/>
          <w:szCs w:val="18"/>
          <w:color w:val="auto"/>
        </w:rPr>
      </w:pPr>
    </w:p>
    <w:p>
      <w:pPr>
        <w:ind w:left="380" w:right="42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future changes to U.S. and non-U.S. tax laws, or tax regulatory authorities disagreeing with our positions and conclusions regarding certain tax positions, could materially adversely affect us;</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445" w:right="339" w:bottom="1440" w:gutter="0" w:footer="0" w:header="0"/>
        </w:sectPr>
      </w:pPr>
    </w:p>
    <w:bookmarkStart w:id="5" w:name="page6"/>
    <w:bookmarkEnd w:id="5"/>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other disruptions of our security systems may damage our reputation and adversely affect our business;</w:t>
      </w:r>
    </w:p>
    <w:p>
      <w:pPr>
        <w:spacing w:after="0" w:line="117"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67" w:lineRule="exact"/>
        <w:rPr>
          <w:rFonts w:ascii="Times New Roman" w:cs="Times New Roman" w:eastAsia="Times New Roman" w:hAnsi="Times New Roman"/>
          <w:sz w:val="18"/>
          <w:szCs w:val="18"/>
          <w:color w:val="auto"/>
        </w:rPr>
      </w:pPr>
    </w:p>
    <w:p>
      <w:pPr>
        <w:ind w:left="380" w:right="220" w:hanging="378"/>
        <w:spacing w:after="0" w:line="289"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spacing w:after="0" w:line="49" w:lineRule="exact"/>
        <w:rPr>
          <w:rFonts w:ascii="Times New Roman" w:cs="Times New Roman" w:eastAsia="Times New Roman" w:hAnsi="Times New Roman"/>
          <w:sz w:val="17"/>
          <w:szCs w:val="17"/>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our common stock could cause the market price of our common stock to decline; and</w:t>
      </w:r>
    </w:p>
    <w:p>
      <w:pPr>
        <w:spacing w:after="0" w:line="117" w:lineRule="exact"/>
        <w:rPr>
          <w:rFonts w:ascii="Times New Roman" w:cs="Times New Roman" w:eastAsia="Times New Roman" w:hAnsi="Times New Roman"/>
          <w:sz w:val="18"/>
          <w:szCs w:val="18"/>
          <w:color w:val="auto"/>
        </w:rPr>
      </w:pPr>
    </w:p>
    <w:p>
      <w:pPr>
        <w:ind w:left="380" w:right="8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16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445" w:right="35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ability to accurately measure and reference time has been essential to many of humankind’s greatest inventions and technological advances. Timing technology has continued to evolve over centuries, forming a critical aspect of broader technological advancement. Timing is the heartbeat of digital electronic systems, ensuring that the system runs smoothly and reliably by providing and distributing clock signals to various critical components such as CPUs, communication and interface chips, and radio frequency components. As electronics evolve to deliver higher performance levels, even in increasingly challenging environments, while also being more complex and space-constrained, we believe they will require more sophisticated timing solutions, and precision timing, a category that SiTime created, fills this need.</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leading provider of precision timing solutions to the global electronics industry. Our precision timing solutions are the heartbeat of our customers’ electronic systems, providing the timing functionality that is needed for electronics to operate reliably and correctly.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and enterprise, automotive, industrial, aerospace, mobile, Internet of Things (“IoT”), and consumer. Our current solutions include various types of oscillators, as well as resonators and clock integrated circuits (“ICs”). Our all-silicon solutions are based on three fundamental areas of expertise: micro-electro-mechanical systems (“MEMS”), analog mixed-signal design capabilities, and advanced system-level integration expertise.</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This expertise enables us to design silicon MEMS resonators, analog circuits, as well as systems and packaging, and put these all together to deliver a system-level solution that solves customers’ complex timing problems. In this aspect, we are different than quartz-based providers, who typically have expertise in designing and manufacturing resonators, but usually outsource the analog and packaging. We also have a deep understanding of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while the quartz suppliers use quartz crystal material. 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("PLLs"),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importantly, enables us to design and build complete timing systems that result in performance advantages, providing a complete solution to the customer.</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precision timing solutions are designed to be resilient to environmental stressors. For the communications and enterprise market, our precision timing solutions provide high performance and resilience in dense, less-controlled environments that experience extreme conditions. The resilience of our products becomes an increasing advantage as equipment is placed in dense, harsh environments and moves closer to the customer with the rollout of 5G, the rapid expansion in cloudification, and deployment of hyperscale datacenters. For the automotive market, our solutions can be utilized in automotive electronics, including advanced driver assistance systems (“ADAS”)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market, our solutions provide lower acceleration sensitivity for end products that operate in rugged conditions. For the mobile, IoT and consumer market, our timing solutions have the advantage of offering high performance at optimal power consumption and size, as our customers fit more functionality into smaller devices.</w:t>
      </w:r>
    </w:p>
    <w:p>
      <w:pPr>
        <w:spacing w:after="0" w:line="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Commercial shipments of SiTime’s first oscillator products began in 2006. Historically, our revenue has been substantially delivered from sales of oscillator systems across our target end markets. In addition to oscillator systems, we have expanded our products to include clock IC and timing sync solutions. We seek to expand our presence in our end markets across all product categories.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sell our products primarily through distributors, who in turn sell to our end customers. We also sell products directly to some of our end customers. Based on sell-through information provided by our distributors, we believe the majority of our end customers are headquartered in the U.S.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distributors or by shopping on our online store, SiTimeDirect™.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7" w:name="page8"/>
    <w:bookmarkEnd w:id="7"/>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operate a fabless business model, where we outsource manufacturing to semiconductor industry suppliers, which allows us to focus on, and excel in, the design, marketing, and sales of our products. This model also allows us to operate with lower capital expenditure investment than other semiconductor companies who own fabs. A fabless infrastructure gives us production flexibility and the ability to scale capacity up and down quickly to meet demand. Our programmable architecture also plays a key role in ensuring optimal production flexibility, as it allows us to offer shorter lead times and the ability to meet custom requirements more easily.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Key Building Blocks of Timing Solutions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Timing solutions comprise of three key product types: resonators, oscillators, and clock ICs.</w:t>
      </w:r>
    </w:p>
    <w:p>
      <w:pPr>
        <w:spacing w:after="0" w:line="117" w:lineRule="exact"/>
        <w:rPr>
          <w:sz w:val="20"/>
          <w:szCs w:val="20"/>
          <w:color w:val="auto"/>
        </w:rPr>
      </w:pPr>
    </w:p>
    <w:p>
      <w:pPr>
        <w:ind w:left="760" w:right="2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Resonators are mechanical structures that vibrate at a precise frequency and provide the core accuracy and stability in oscillator systems. We create resonators in silicon using MEMS semiconductor technology, which is different than the quartz industry where the resonators are made from quartz crystals and are generally manufactured in non-semiconductor technologies.</w:t>
      </w:r>
    </w:p>
    <w:p>
      <w:pPr>
        <w:spacing w:after="0" w:line="6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Oscillators are active systems that combine resonators with analog mixed-signal ICs that cause the resonators to vibrate, generating accurate and stable clock signals. Each oscillator generally delivers a single clock signal.</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Clock ICs are integrated analog mixed-signal circuits that deliver multiple clock signals by using building blocks such as PLLs, clock dividers, and drivers. Clock ICs require resonators and oscillators for timing references and usually integrate these blocks into complex systems.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an electronic system, these three product types may be used individually or in combination, depending on the end product’s performance, price, and size requirements. Simpler electronic systems generally require a standalone resonator coupled with a basic oscillator circuit that is embedded in a semiconductor device such as a microprocessor, system on a chip ("SoC"), or application specific integrated circuit ("ASIC"). In this type of system, multiple resonators may be used for different functionality. More complex electronic systems require advanced timing solutions that may integrate a variety of resonators, oscillators, and clock ICs. The complexity of these timing solutions increases significantly when the performance requirements of the systems that use them increase, such as electronic systems required to support the 5G communication network infrastructure.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Legacy Quartz-based Solutions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Quartz crystal has been the predominant technology of choice for resonators for over half a century and will continue to play a role in the timing market. In a quartz oscillator, a quartz crystal resonator is paired with a silicon-based clock IC in a ceramic package. However, quartz timing devices, largely unchanged in decades, have many inherent limitations, including limited frequency ranges, sensitivity to rapid temperature changes, vulnerability to vibration and mechanical shock, susceptibility to frequency jumps at specific temperatures, and limited programmability. Quartz devices must be housed in ceramic packaging, and thus are difficult to integrate into standard semiconductor packages. Quartz products require dedicated manufacturing facilities and have relatively long lead times due to the need to specify various characteristics well in advance of production, without the ability to reconfigure them during the design cycle. In addition, as electronic systems become more complex, feature-rich, and robust, they require more sophisticated timing systems that can seamlessly integrate a variety of resonators, oscillators, and clock ICs in various system-level combinations. This seamless integration is more difficult with legacy quartz systems. These limitations impact the precision and quality of the timing signal in harsh conditions.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Precision MEMS Timing Solutions Poised to Disrupt the Market</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recent years, advances in silicon-based manufacturing and packaging techniques have allowed the development of alternatives to quartz crystal technology. We believe that MEMS is an ideal technology for resonator design. Specifically, its ability to integrate with other circuits in standard semiconductor packages has made scalable standard manufacturing possible for resonators and broader timing technology. MEMS timing products can operate in a wide range of frequencies, are more resistant to vibration, mechanical shock, and temperature changes, and are less susceptible to frequency jumps. MEMS technology is also inherently well-suited to produce timing solutions that are small, and offer high performance, resilience and programmability. Timing solutions based on MEMS technology are manufactured using semiconductor processes in fabrication plants with high capacity, allowing for cost-effective high-volume manufacturing.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Market Opportunity for Precision Timing Solutions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According to Dedalus Consulting - 2019 Frequency Control Components Global Markets, End-Users, Applications &amp; Competitors: Analysis &amp; Forecasts and our estimates, the global timing market is expected to grow to $10.1 billion by 2024. Dedalus Consulting estimates that oscillators and standalone resonators will represent approximately $5.0 billion and $4.0 billion total addressable markets, respectively, in 2024. Based on our internal estimates, we believe clock ICs represent an approximate $1.0 billion total addressable market. As a subset of the broader timing market, the market for MEMS timing devices is projected to grow from approximately $0.25 billion in 2021 to $1.5 billion by 2027, representing a compound annual growth rate of approximately 35%, according to the "Status of The MEMS Industry 2022" report from Yole Intelligence, part of Yole Group, that was published in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 for Advanced Solutions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From high-performance network infrastructure equipment to low-power battery-operated devices, precision timing solutions enable virtually all electronics. The complexity of such timing solutions increases significantly with the performance requirements of the systems in which they are used. Below are some examples of end markets in which we believe our silicon-based timing is enabling or has the potential to enable, greater functionality than legacy solutions: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and Enterprise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According to Gartner, “Recent reports on 5G pilots and testing have identified a wide range of projected data throughput speeds ranging from 10 times up to 1,000 times faster than 4G. Other reports estimate ranges of one to 10 gigabytes per second.” Communications infrastructure equipment used in wireless base stations, wired infrastructure equipment, enterprise networks, and cloud data centers must provide high performance and stability in demanding environments, which may include temperature fluctuations, mechanical shocks, and vibration. If the timing solution within the equipment fails, networks can shut down, leading to service disruptions and higher operating costs.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Automotive, Industrial, and Aerospace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automotive applications, timing technology must perform reliably over the life of an automobile in an environment characterized by vibration, mechanical shocks, electromagnetic interference, wide and rapid temperature change. The AECC (Automotive Edge Computing Consortium) estimated in 2020 that “data traffic from connected vehicles will exceed 1,000 times the present volume, surpassing 10 exabytes per month by 2025.” These communication systems will require highly-reliable precision timing. We believe precision timing can address many of the challenges associated with this demanding automotive ecosystem.</w:t>
      </w:r>
    </w:p>
    <w:p>
      <w:pPr>
        <w:spacing w:after="0" w:line="75"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Industrial equipment, ranging from factory machinery to diagnostic equipment, is often exposed to environments characterized by temperature fluctuation, mechanical shocks, vibration, and electromagnetic interference. We believe our precision timing solutions can perform better than legacy quartz-based solutions in demanding industrial environments and with lower power consumption and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9" w:name="page10"/>
    <w:bookmarkEnd w:id="9"/>
    <w:p>
      <w:pPr>
        <w:ind w:right="580"/>
        <w:spacing w:after="0" w:line="282" w:lineRule="auto"/>
        <w:rPr>
          <w:sz w:val="20"/>
          <w:szCs w:val="20"/>
          <w:color w:val="auto"/>
        </w:rPr>
      </w:pPr>
      <w:r>
        <w:rPr>
          <w:rFonts w:ascii="Times New Roman" w:cs="Times New Roman" w:eastAsia="Times New Roman" w:hAnsi="Times New Roman"/>
          <w:sz w:val="18"/>
          <w:szCs w:val="18"/>
          <w:color w:val="auto"/>
        </w:rPr>
        <w:t>higher reliability. In addition, with the highly diverse nature of industrial applications and the need for unique operating frequencies, we believe the programmable architecture of our precision timing products provides an advantage.</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Timing devices used in aerospace and defense applications such as rockets and satellites need to withstand extreme vibration forces and temperature gradients during operation. Quartz-based solutions can be impacted by vibrating forces acting on the whole system. Precision timing devices are well-suited for these applications, as they provide up to 50 times better acceleration sensitivity under vibration than comparable quartz-based solutions.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Mobile, IoT and Consumer</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growing reliance on mobile devices and the IoT revolution has enabled the proliferation of billions of internet-connected devices in industrial and consumer applications. These devices range from smartphones and personal wearable devices to electronics embedded in appliances and industrial machinery. Many of these devices need to package a significant amount of electronics in a limited battery-powered and size-constrained form factor, while still requiring high performance and high accuracy. Due to the ability to integrate with ICs, we believe silicon MEMS timing solutions are well-suited to optimize footprint, reliability, and power consumption of the overall system within mobile, IoT and consumer devices.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precision timing solutions comprise:</w:t>
      </w:r>
    </w:p>
    <w:p>
      <w:pPr>
        <w:spacing w:after="0" w:line="113" w:lineRule="exact"/>
        <w:rPr>
          <w:sz w:val="20"/>
          <w:szCs w:val="20"/>
          <w:color w:val="auto"/>
        </w:rPr>
      </w:pPr>
    </w:p>
    <w:p>
      <w:pPr>
        <w:ind w:left="760" w:right="220" w:hanging="378"/>
        <w:spacing w:after="0" w:line="259"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MEMS resonators</w:t>
      </w:r>
      <w:r>
        <w:rPr>
          <w:rFonts w:ascii="Times New Roman" w:cs="Times New Roman" w:eastAsia="Times New Roman" w:hAnsi="Times New Roman"/>
          <w:sz w:val="18"/>
          <w:szCs w:val="18"/>
          <w:color w:val="auto"/>
        </w:rPr>
        <w:t>: We pioneered the silicon MEMS timing industry with the MEMS First®, EpiSeal®, and TempFlat® processes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These manufacturing processes have allowed the hermetically-sealed resonator die to be housed in industry-standard, low-cost plastic packages. These processes and technologies improve resonator stability, increase quality and reliability, and decrease aging effects. We believe our MEMS resonators are easy to integrate into silicon-based oscillators and clock ICs, and allow us to develop tightly-integrated precision timing solutions.</w:t>
      </w:r>
    </w:p>
    <w:p>
      <w:pPr>
        <w:spacing w:after="0" w:line="71" w:lineRule="exact"/>
        <w:rPr>
          <w:rFonts w:ascii="Times New Roman" w:cs="Times New Roman" w:eastAsia="Times New Roman" w:hAnsi="Times New Roman"/>
          <w:sz w:val="18"/>
          <w:szCs w:val="18"/>
          <w:color w:val="auto"/>
        </w:rPr>
      </w:pPr>
    </w:p>
    <w:p>
      <w:pPr>
        <w:ind w:left="760" w:right="20" w:hanging="378"/>
        <w:spacing w:after="0" w:line="25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Oscillators and Clock ICs</w:t>
      </w:r>
      <w:r>
        <w:rPr>
          <w:rFonts w:ascii="Times New Roman" w:cs="Times New Roman" w:eastAsia="Times New Roman" w:hAnsi="Times New Roman"/>
          <w:sz w:val="18"/>
          <w:szCs w:val="18"/>
          <w:color w:val="auto"/>
        </w:rPr>
        <w:t>: We have a dedicated analog and mixed-signal engineering team focused on the most complex challenges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oscillators and clock ICs. Our analog mixed-signal technologies include several innovative low-noise circuit-based oscillators, high-performance PLLs, low-noise data converters, and precision low-aging reference circuits. Many of our oscillators use temperature sensing to maximize frequency stability. Our low-power nano-ampere and high-resolution DualMEMS® microkelvin-resolution sensing technologies stabilize our precision timing solutions despite rapid temperature changes. We also offer what we consider to be leading solutions across a range of attributes, including Allan deviation, power supply noise rejection, temperature-sensing resolution, and integrated phase jitter.</w:t>
      </w:r>
    </w:p>
    <w:p>
      <w:pPr>
        <w:spacing w:after="0" w:line="74" w:lineRule="exact"/>
        <w:rPr>
          <w:rFonts w:ascii="Times New Roman" w:cs="Times New Roman" w:eastAsia="Times New Roman" w:hAnsi="Times New Roman"/>
          <w:sz w:val="18"/>
          <w:szCs w:val="18"/>
          <w:color w:val="auto"/>
        </w:rPr>
      </w:pPr>
    </w:p>
    <w:p>
      <w:pPr>
        <w:ind w:left="760" w:right="160" w:hanging="378"/>
        <w:spacing w:after="0" w:line="26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Advanced system-level integration</w:t>
      </w:r>
      <w:r>
        <w:rPr>
          <w:rFonts w:ascii="Times New Roman" w:cs="Times New Roman" w:eastAsia="Times New Roman" w:hAnsi="Times New Roman"/>
          <w:sz w:val="18"/>
          <w:szCs w:val="18"/>
          <w:color w:val="auto"/>
        </w:rPr>
        <w:t>: We have extensive know-how in integrating various timing components into elegant system-level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Our ability to integrate MEMS-based resonators with analog mixed-signal products allows us to develop oscillators and clock ICs in diverse permutations, which helps us solve difficult timing challenges. Using advanced packaging designs, we believe we can design our products to fit in the smallest footprints in the industry.</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design each key building block of the timing system, from MEMS resonators to oscillator circuits to clock ICs. Our ability to combine our MEMS resonators with analog-mixed signal components in a fabless semiconductor supply chain allows us to build full timing solutions from the ground up, enabling our customers to focus on their core expertise.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8"/>
          <w:szCs w:val="18"/>
          <w:color w:val="auto"/>
        </w:rPr>
        <w:t>Our flexible and programmable precision timing solutions offer the following benefits:</w:t>
      </w:r>
    </w:p>
    <w:p>
      <w:pPr>
        <w:spacing w:after="0" w:line="113" w:lineRule="exact"/>
        <w:rPr>
          <w:sz w:val="20"/>
          <w:szCs w:val="20"/>
          <w:color w:val="auto"/>
        </w:rPr>
      </w:pPr>
    </w:p>
    <w:p>
      <w:pPr>
        <w:ind w:left="760" w:right="64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 performance</w:t>
      </w:r>
      <w:r>
        <w:rPr>
          <w:rFonts w:ascii="Times New Roman" w:cs="Times New Roman" w:eastAsia="Times New Roman" w:hAnsi="Times New Roman"/>
          <w:sz w:val="18"/>
          <w:szCs w:val="18"/>
          <w:color w:val="auto"/>
        </w:rPr>
        <w:t>: Our portfolio of MEMS-based precision timing products allows us to provide our customers with high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across a wide range of attributes including stability over temperature, vibration, phase jitter, and other metrics.</w:t>
      </w:r>
    </w:p>
    <w:p>
      <w:pPr>
        <w:spacing w:after="0" w:line="46" w:lineRule="exact"/>
        <w:rPr>
          <w:rFonts w:ascii="Times New Roman" w:cs="Times New Roman" w:eastAsia="Times New Roman" w:hAnsi="Times New Roman"/>
          <w:sz w:val="18"/>
          <w:szCs w:val="18"/>
          <w:color w:val="auto"/>
        </w:rPr>
      </w:pPr>
    </w:p>
    <w:p>
      <w:pPr>
        <w:ind w:left="760" w:right="6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Small size</w:t>
      </w:r>
      <w:r>
        <w:rPr>
          <w:rFonts w:ascii="Times New Roman" w:cs="Times New Roman" w:eastAsia="Times New Roman" w:hAnsi="Times New Roman"/>
          <w:sz w:val="18"/>
          <w:szCs w:val="18"/>
          <w:color w:val="auto"/>
        </w:rPr>
        <w:t>: Our solutions have a small footprint and package size, optimizing the end customer’s board area. Additionally, many of our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added integrated functions such as on-chip regulators and load capacitors which reduce the need for external components and decrease the overall system size.</w:t>
      </w:r>
    </w:p>
    <w:p>
      <w:pPr>
        <w:spacing w:after="0" w:line="62" w:lineRule="exact"/>
        <w:rPr>
          <w:rFonts w:ascii="Times New Roman" w:cs="Times New Roman" w:eastAsia="Times New Roman" w:hAnsi="Times New Roman"/>
          <w:sz w:val="18"/>
          <w:szCs w:val="18"/>
          <w:color w:val="auto"/>
        </w:rPr>
      </w:pPr>
    </w:p>
    <w:p>
      <w:pPr>
        <w:ind w:left="760" w:right="22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 power</w:t>
      </w:r>
      <w:r>
        <w:rPr>
          <w:rFonts w:ascii="Times New Roman" w:cs="Times New Roman" w:eastAsia="Times New Roman" w:hAnsi="Times New Roman"/>
          <w:sz w:val="18"/>
          <w:szCs w:val="18"/>
          <w:color w:val="auto"/>
        </w:rPr>
        <w:t>: Our solutions operate at low power levels and have differentiated power-saving features such as NanoDrive™ and FlexSwing™,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them well-suited for mobile, IoT and other power-sensitive applications.</w:t>
      </w:r>
    </w:p>
    <w:p>
      <w:pPr>
        <w:spacing w:after="0" w:line="46" w:lineRule="exact"/>
        <w:rPr>
          <w:rFonts w:ascii="Times New Roman" w:cs="Times New Roman" w:eastAsia="Times New Roman" w:hAnsi="Times New Roman"/>
          <w:sz w:val="18"/>
          <w:szCs w:val="18"/>
          <w:color w:val="auto"/>
        </w:rPr>
      </w:pPr>
    </w:p>
    <w:p>
      <w:pPr>
        <w:ind w:left="760" w:right="20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Programmability</w:t>
      </w:r>
      <w:r>
        <w:rPr>
          <w:rFonts w:ascii="Times New Roman" w:cs="Times New Roman" w:eastAsia="Times New Roman" w:hAnsi="Times New Roman"/>
          <w:sz w:val="18"/>
          <w:szCs w:val="18"/>
          <w:color w:val="auto"/>
        </w:rPr>
        <w:t>: Our devices are configurable across a wide range of parameters, including frequency, stability metrics, voltage parameters,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temperature ranges, among others. This provides design flexibility for the customer, and enabling us to produce a vast number of custom timing products on demand with short lead times.</w:t>
      </w:r>
    </w:p>
    <w:p>
      <w:pPr>
        <w:spacing w:after="0" w:line="62" w:lineRule="exact"/>
        <w:rPr>
          <w:rFonts w:ascii="Times New Roman" w:cs="Times New Roman" w:eastAsia="Times New Roman" w:hAnsi="Times New Roman"/>
          <w:sz w:val="18"/>
          <w:szCs w:val="18"/>
          <w:color w:val="auto"/>
        </w:rPr>
      </w:pPr>
    </w:p>
    <w:p>
      <w:pPr>
        <w:ind w:left="760" w:right="62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 quality and reliability</w:t>
      </w:r>
      <w:r>
        <w:rPr>
          <w:rFonts w:ascii="Times New Roman" w:cs="Times New Roman" w:eastAsia="Times New Roman" w:hAnsi="Times New Roman"/>
          <w:sz w:val="18"/>
          <w:szCs w:val="18"/>
          <w:color w:val="auto"/>
        </w:rPr>
        <w:t>: The combination of our materials, design, and manufacturing processes enables us to produce high quality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with long-term reliability. Our solutions offer low sensitivity to electromagnetic energy, mechanical shock, vibration, airflow, temperature gradients and power supply noise.</w:t>
      </w:r>
    </w:p>
    <w:p>
      <w:pPr>
        <w:spacing w:after="0" w:line="62" w:lineRule="exact"/>
        <w:rPr>
          <w:rFonts w:ascii="Times New Roman" w:cs="Times New Roman" w:eastAsia="Times New Roman" w:hAnsi="Times New Roman"/>
          <w:sz w:val="18"/>
          <w:szCs w:val="18"/>
          <w:color w:val="auto"/>
        </w:rPr>
      </w:pPr>
    </w:p>
    <w:p>
      <w:pPr>
        <w:ind w:left="760" w:right="22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Flexible integration</w:t>
      </w:r>
      <w:r>
        <w:rPr>
          <w:rFonts w:ascii="Times New Roman" w:cs="Times New Roman" w:eastAsia="Times New Roman" w:hAnsi="Times New Roman"/>
          <w:sz w:val="18"/>
          <w:szCs w:val="18"/>
          <w:color w:val="auto"/>
        </w:rPr>
        <w:t>: Our MEMS resonators and clock ICs allow a wide range of packaging and integration methodologies to support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levels of size, cost, and electrical, thermal, and mechanical performance.</w:t>
      </w:r>
    </w:p>
    <w:p>
      <w:pPr>
        <w:spacing w:after="0" w:line="46" w:lineRule="exact"/>
        <w:rPr>
          <w:rFonts w:ascii="Times New Roman" w:cs="Times New Roman" w:eastAsia="Times New Roman" w:hAnsi="Times New Roman"/>
          <w:sz w:val="18"/>
          <w:szCs w:val="18"/>
          <w:color w:val="auto"/>
        </w:rPr>
      </w:pPr>
    </w:p>
    <w:p>
      <w:pPr>
        <w:ind w:left="760" w:right="28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Leveraged product development</w:t>
      </w:r>
      <w:r>
        <w:rPr>
          <w:rFonts w:ascii="Times New Roman" w:cs="Times New Roman" w:eastAsia="Times New Roman" w:hAnsi="Times New Roman"/>
          <w:sz w:val="18"/>
          <w:szCs w:val="18"/>
          <w:color w:val="auto"/>
        </w:rPr>
        <w:t>: Our solutions employ different combinations of MEMS and circuit components, enabling us to generate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vast number of custom part numbers, including over 40,000 unique part numbers shipped as of December 31, 2022.</w:t>
      </w:r>
    </w:p>
    <w:p>
      <w:pPr>
        <w:spacing w:after="0" w:line="46" w:lineRule="exact"/>
        <w:rPr>
          <w:rFonts w:ascii="Times New Roman" w:cs="Times New Roman" w:eastAsia="Times New Roman" w:hAnsi="Times New Roman"/>
          <w:sz w:val="18"/>
          <w:szCs w:val="18"/>
          <w:color w:val="auto"/>
        </w:rPr>
      </w:pPr>
    </w:p>
    <w:p>
      <w:pPr>
        <w:ind w:left="760" w:right="12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Rapid time to market</w:t>
      </w:r>
      <w:r>
        <w:rPr>
          <w:rFonts w:ascii="Times New Roman" w:cs="Times New Roman" w:eastAsia="Times New Roman" w:hAnsi="Times New Roman"/>
          <w:sz w:val="18"/>
          <w:szCs w:val="18"/>
          <w:color w:val="auto"/>
        </w:rPr>
        <w:t>: Our solutions can typically be delivered within weeks of initial customer order and configuration, enabling us to reduce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end customers’ time to market.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objective is to be the leading provider of precision timing solutions for advanced and challenging applications. Our solutions not only displace existing products by providing improved performance across a range of operational attributes, but also enable next-generation electronic applications by providing high performance at affordable price points. Key elements of our strategy include:</w:t>
      </w:r>
    </w:p>
    <w:p>
      <w:pPr>
        <w:spacing w:after="0" w:line="64" w:lineRule="exact"/>
        <w:rPr>
          <w:sz w:val="20"/>
          <w:szCs w:val="20"/>
          <w:color w:val="auto"/>
        </w:rPr>
      </w:pPr>
    </w:p>
    <w:p>
      <w:pPr>
        <w:ind w:left="760" w:right="100" w:hanging="378"/>
        <w:spacing w:after="0" w:line="26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Extend our leadership in precision timing</w:t>
      </w:r>
      <w:r>
        <w:rPr>
          <w:rFonts w:ascii="Times New Roman" w:cs="Times New Roman" w:eastAsia="Times New Roman" w:hAnsi="Times New Roman"/>
          <w:sz w:val="18"/>
          <w:szCs w:val="18"/>
          <w:color w:val="auto"/>
        </w:rPr>
        <w:t>. We intend to continue driving innovation in the timing market and working with our ecosystem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to help set the timing standards of the future. Through this and other efforts, we expect to enable customers to create reference architectures and purchase complete solutions. We plan to improve the performance of our current solution suite across a variety of key metrics, including size, power, frequency stability, phase noise, and signal quality, while adding new functionality.</w:t>
      </w:r>
    </w:p>
    <w:p>
      <w:pPr>
        <w:spacing w:after="0" w:line="68" w:lineRule="exact"/>
        <w:rPr>
          <w:rFonts w:ascii="Times New Roman" w:cs="Times New Roman" w:eastAsia="Times New Roman" w:hAnsi="Times New Roman"/>
          <w:sz w:val="18"/>
          <w:szCs w:val="18"/>
          <w:color w:val="auto"/>
        </w:rPr>
      </w:pPr>
    </w:p>
    <w:p>
      <w:pPr>
        <w:ind w:left="76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Educate and promote the benefits of silicon technology</w:t>
      </w:r>
      <w:r>
        <w:rPr>
          <w:rFonts w:ascii="Times New Roman" w:cs="Times New Roman" w:eastAsia="Times New Roman" w:hAnsi="Times New Roman"/>
          <w:sz w:val="18"/>
          <w:szCs w:val="18"/>
          <w:color w:val="auto"/>
        </w:rPr>
        <w:t>. We intend to continue to educate current and prospective customers about the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our precision timing solutions relative to their existing and future products. Our </w:t>
      </w:r>
      <w:r>
        <w:rPr>
          <w:rFonts w:ascii="Times New Roman" w:cs="Times New Roman" w:eastAsia="Times New Roman" w:hAnsi="Times New Roman"/>
          <w:sz w:val="18"/>
          <w:szCs w:val="18"/>
          <w:i w:val="1"/>
          <w:iCs w:val="1"/>
          <w:color w:val="auto"/>
        </w:rPr>
        <w:t>Timing Essentials Learning Hub</w:t>
      </w:r>
      <w:r>
        <w:rPr>
          <w:rFonts w:ascii="Times New Roman" w:cs="Times New Roman" w:eastAsia="Times New Roman" w:hAnsi="Times New Roman"/>
          <w:sz w:val="18"/>
          <w:szCs w:val="18"/>
          <w:color w:val="auto"/>
        </w:rPr>
        <w:t xml:space="preserve"> is an online educational platform established to share our knowledge, though-leadership, and technology leadership.</w:t>
      </w:r>
    </w:p>
    <w:p>
      <w:pPr>
        <w:spacing w:after="0" w:line="62" w:lineRule="exact"/>
        <w:rPr>
          <w:rFonts w:ascii="Times New Roman" w:cs="Times New Roman" w:eastAsia="Times New Roman" w:hAnsi="Times New Roman"/>
          <w:sz w:val="18"/>
          <w:szCs w:val="18"/>
          <w:color w:val="auto"/>
        </w:rPr>
      </w:pPr>
    </w:p>
    <w:p>
      <w:pPr>
        <w:ind w:left="760" w:right="8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and promote new and emerging applications for our technologies</w:t>
      </w:r>
      <w:r>
        <w:rPr>
          <w:rFonts w:ascii="Times New Roman" w:cs="Times New Roman" w:eastAsia="Times New Roman" w:hAnsi="Times New Roman"/>
          <w:sz w:val="18"/>
          <w:szCs w:val="18"/>
          <w:color w:val="auto"/>
        </w:rPr>
        <w:t>. We intend to continue to collaborate with our end customers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 timing challenges related to their product roadmaps and to support new applications that would not be possible without SiTime's unique timing technology.</w:t>
      </w:r>
    </w:p>
    <w:p>
      <w:pPr>
        <w:spacing w:after="0" w:line="62" w:lineRule="exact"/>
        <w:rPr>
          <w:rFonts w:ascii="Times New Roman" w:cs="Times New Roman" w:eastAsia="Times New Roman" w:hAnsi="Times New Roman"/>
          <w:sz w:val="18"/>
          <w:szCs w:val="18"/>
          <w:color w:val="auto"/>
        </w:rPr>
      </w:pPr>
    </w:p>
    <w:p>
      <w:pPr>
        <w:ind w:left="760" w:right="340" w:hanging="378"/>
        <w:spacing w:after="0" w:line="28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Enable future technology innovation</w:t>
      </w:r>
      <w:r>
        <w:rPr>
          <w:rFonts w:ascii="Times New Roman" w:cs="Times New Roman" w:eastAsia="Times New Roman" w:hAnsi="Times New Roman"/>
          <w:sz w:val="18"/>
          <w:szCs w:val="18"/>
          <w:color w:val="auto"/>
        </w:rPr>
        <w:t>. We plan to continue to apply our MEMS, analog and mixed-signal, and systems expertise,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with leading technology companies to develop innovative products.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ind w:left="760" w:hanging="378"/>
        <w:spacing w:after="0" w:line="28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Broaden our product portfolio</w:t>
      </w:r>
      <w:r>
        <w:rPr>
          <w:rFonts w:ascii="Times New Roman" w:cs="Times New Roman" w:eastAsia="Times New Roman" w:hAnsi="Times New Roman"/>
          <w:sz w:val="18"/>
          <w:szCs w:val="18"/>
          <w:color w:val="auto"/>
        </w:rPr>
        <w:t>. We intend to continue to broaden our product portfolio by offering additional varieties of oscillators, expanding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in standalone resonators, and expanding into the clock IC market.</w:t>
      </w:r>
    </w:p>
    <w:p>
      <w:pPr>
        <w:spacing w:after="0" w:line="46" w:lineRule="exact"/>
        <w:rPr>
          <w:rFonts w:ascii="Times New Roman" w:cs="Times New Roman" w:eastAsia="Times New Roman" w:hAnsi="Times New Roman"/>
          <w:sz w:val="18"/>
          <w:szCs w:val="18"/>
          <w:color w:val="auto"/>
        </w:rPr>
      </w:pPr>
    </w:p>
    <w:p>
      <w:pPr>
        <w:ind w:left="760" w:right="240" w:hanging="378"/>
        <w:spacing w:after="0" w:line="26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attract and acquire new customers</w:t>
      </w:r>
      <w:r>
        <w:rPr>
          <w:rFonts w:ascii="Times New Roman" w:cs="Times New Roman" w:eastAsia="Times New Roman" w:hAnsi="Times New Roman"/>
          <w:sz w:val="18"/>
          <w:szCs w:val="18"/>
          <w:color w:val="auto"/>
        </w:rPr>
        <w:t>. We intend to continue expanding our end customer base through direct dialogue with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strategic accounts, partnerships with large distributors, as well as grow direct online sales with the SiTimeDirect store. With continued investment in our digital marketing strategies that advance the SiTime customer experience, along with sophisticated market segmentation efforts, we expect to identify new customers, and deliver differentiated precision timing solutions to them.</w:t>
      </w:r>
    </w:p>
    <w:p>
      <w:pPr>
        <w:spacing w:after="0" w:line="68" w:lineRule="exact"/>
        <w:rPr>
          <w:rFonts w:ascii="Times New Roman" w:cs="Times New Roman" w:eastAsia="Times New Roman" w:hAnsi="Times New Roman"/>
          <w:sz w:val="18"/>
          <w:szCs w:val="18"/>
          <w:color w:val="auto"/>
        </w:rPr>
      </w:pPr>
    </w:p>
    <w:p>
      <w:pPr>
        <w:ind w:left="760" w:right="240" w:hanging="378"/>
        <w:spacing w:after="0" w:line="26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 margin expansion of our products</w:t>
      </w:r>
      <w:r>
        <w:rPr>
          <w:rFonts w:ascii="Times New Roman" w:cs="Times New Roman" w:eastAsia="Times New Roman" w:hAnsi="Times New Roman"/>
          <w:sz w:val="18"/>
          <w:szCs w:val="18"/>
          <w:color w:val="auto"/>
        </w:rPr>
        <w:t>. We intend to use our technological expertise to deliver higher value and higher margin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traditional and new innovative channels. In addition, we intend to continue to reduce our costs through operational improvements and supply-chain management initiatives.</w:t>
      </w:r>
    </w:p>
    <w:p>
      <w:pPr>
        <w:spacing w:after="0" w:line="62" w:lineRule="exact"/>
        <w:rPr>
          <w:rFonts w:ascii="Times New Roman" w:cs="Times New Roman" w:eastAsia="Times New Roman" w:hAnsi="Times New Roman"/>
          <w:sz w:val="18"/>
          <w:szCs w:val="18"/>
          <w:color w:val="auto"/>
        </w:rPr>
      </w:pPr>
    </w:p>
    <w:p>
      <w:pPr>
        <w:ind w:left="760" w:right="300" w:hanging="378"/>
        <w:spacing w:after="0" w:line="26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 lower cost of ownership</w:t>
      </w:r>
      <w:r>
        <w:rPr>
          <w:rFonts w:ascii="Times New Roman" w:cs="Times New Roman" w:eastAsia="Times New Roman" w:hAnsi="Times New Roman"/>
          <w:sz w:val="18"/>
          <w:szCs w:val="18"/>
          <w:color w:val="auto"/>
        </w:rPr>
        <w:t>. In addition to differentiating our solutions based on technical features and value, we also intend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to our customers on business metrics by leveraging our fabless semiconductor infrastructure. These benefits may include shorter lead times, higher quality and reliability, and therefore lower cost of ownership for the end customer.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Our precision timing products are designed to address a wide range of applications across a broad array of end markets. Our product portfolio encompasses oscillators, clock ICs, and resonators. The programmability of our product platforms enables us to generate solutions quickly to customer specifications.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Today, we primarily supply oscillator products that comprise a MEMS resonator and an analog mixed-signal IC that are integrated into a package.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our current portfolio of promoted products by target end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142875</wp:posOffset>
            </wp:positionV>
            <wp:extent cx="2871470" cy="4688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71470" cy="468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We primarily sell our precision timing products to distributors, who in turn sell our products to our end customers. We also sell products directly to some of our end customers. We work closely with our end customers throughout their design cycles and are able to develop long-term relationships as our technology becomes embedded in their products. As a result, we believe our products are well-positioned to be designed into their current systems and we are well-positioned to develop next generation solutions for their future products.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Pernas Electronics Co., Ltd. (“Pernas”), Arrow Electronics, Inc. (“Arrow”), and Quantek Technology Corporation (“Quantek”), three of our distributor customers, each directly accounted for more than 10% of our revenue in the years ended December 31, 2022, 2021, and 2020. Pernas directly accounted for 20%, 24%, and 26% of our revenue for the years ended December 31, 2022, 2021, and 2020, respectively, Arrow directly accounted for 17%, 14%, and 15% of our revenue for the years ended December 31, 2022, 2021, and 2020, respectively and Quantek directly accounted for 12%, 10%, and 18% of our revenue for the years ended December 31, 2022, 2021, and 2020, respectively. Other than Pernas, Quantek, and Arrow, no other single direct customer accounted for more than 10% of our revenue in the years ended December 31, 2022, 2021, and 2020.</w:t>
      </w:r>
    </w:p>
    <w:p>
      <w:pPr>
        <w:spacing w:after="0" w:line="7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Based on the sell-through information provided to us from distributors who identify end customers, we believe that the majority of our products sold to Pernas and Quantek are in turn incorporated into products of Apple Inc. (“Apple”), our largest end customer.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right="420"/>
        <w:spacing w:after="0" w:line="282" w:lineRule="auto"/>
        <w:rPr>
          <w:sz w:val="20"/>
          <w:szCs w:val="20"/>
          <w:color w:val="auto"/>
        </w:rPr>
      </w:pPr>
      <w:r>
        <w:rPr>
          <w:rFonts w:ascii="Times New Roman" w:cs="Times New Roman" w:eastAsia="Times New Roman" w:hAnsi="Times New Roman"/>
          <w:sz w:val="18"/>
          <w:szCs w:val="18"/>
          <w:color w:val="auto"/>
        </w:rPr>
        <w:t>As a result, we believe revenue attributable to our largest end customer accounted for approximately 20%, 22%, and 40% of our revenue for the years ended December 31,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customers’ design cycle from initial engagement to volume shipment typically ranges from six months to three years, with product life cycles of up to ten years or more. For many of our products, early engagement with our customers’ technical staff is critical for success. To ensure an adequate level of early engagement, our sales, marketing, and customer and development engineers work closely with our customers and channel partners to understand, identify, and propose solutions to their systems’ challenges. We work closely with our customers, including technology leaders for the communications markets, to anticipate end customer market needs. In some cases, we work with our end customers to better understand the end customers’ market trends and new requirements that are being placed on our customers.</w:t>
      </w:r>
    </w:p>
    <w:p>
      <w:pPr>
        <w:spacing w:after="0" w:line="18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sell our products worldwide through multiple channels, including our direct sales force and a network of distributors, contract manufacturers, contracted sales representatives, and independent design houses, as well as SiTimeDirect, our self-service online store. Our global sales strategy includes direct sales and distributors covering over 15,000 end customer accounts since inception.</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a strategic accounts strategy executed by our direct sales force focused on design engineers, system architects and executive decision makers for the world’s leading electronics companies. These customers lead electronics innovation for their segments, from communications, 5G, automotive, and consumer IoT, and build in SiTime precision timing solutions that deliver the performance required by these devices. Beyond the well established strategic account portfolio, we target a broad base of small to mid-size electronics OEMs and ODMs that accelerate growth and market expansion for SiTime. We intend to continue to expand our sales and marketing efforts through increased collaboration with our distributors and contracted sales representatives. In addition, we launched SiTimeDirect, a self-service online store supporting 24/7 sales of SiTime oscillators, shipped to over 30 countries globally. Our expert inside sales team supports a “self-service model” for customers. SiTime’s unique field programmability combined with the convenience of an online store, with rapid configuration and fulfillment, makes SiTimeDirect a unique approach in the semiconductor industry for precision timing solutions.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revenue has historically been subject to some seasonal variation. Based on the production schedules of key customers, our products typically see stronger revenue in the second half of our fiscal year. However, this was not the case in 2022 and there can be no assurance that this trend will occur in future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operate a fabless business model and use third-party foundries and assembly and test contractors to manufacture, assemble and test our semiconductor products. This outsourced manufacturing approach allows us to focus our resources on the design, sale, and marketing of our products. In addition, we believe that outsourcing many of our manufacturing and assembly activities provides us with the flexibility needed to respond to new market opportunities and scale for customer demand, simplifies our operations, and significantly reduces our capital commitments.</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subject our third-party manufacturing contractors to rigorous qualification requirements to meet the high quality and reliability standards required of our products. We carefully qualify each of our partners and their processes before applying the technology to our products. Our engineers work closely with our foundries and other contractors to increase yield, lower manufacturing costs, and improve product quality.</w:t>
      </w:r>
    </w:p>
    <w:p>
      <w:pPr>
        <w:spacing w:after="0" w:line="64" w:lineRule="exact"/>
        <w:rPr>
          <w:sz w:val="20"/>
          <w:szCs w:val="20"/>
          <w:color w:val="auto"/>
        </w:rPr>
      </w:pPr>
    </w:p>
    <w:p>
      <w:pPr>
        <w:ind w:left="760" w:right="80" w:hanging="378"/>
        <w:spacing w:after="0" w:line="26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Fabrication</w:t>
      </w:r>
      <w:r>
        <w:rPr>
          <w:rFonts w:ascii="Times New Roman" w:cs="Times New Roman" w:eastAsia="Times New Roman" w:hAnsi="Times New Roman"/>
          <w:sz w:val="18"/>
          <w:szCs w:val="18"/>
          <w:color w:val="auto"/>
        </w:rPr>
        <w:t>. We currently utilize a range of semiconductor process generations to develop and manufacture our products. We use Robert Bosch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(“Bosch”) in Germany and Taiwan Semiconductor Manufacturing Company (“TSMC”) in Taiwan as our primary foundries and suppliers for our MEMS timing devices and analog mixed-signal circuit ICs, respectively.</w:t>
      </w:r>
    </w:p>
    <w:p>
      <w:pPr>
        <w:spacing w:after="0" w:line="62" w:lineRule="exact"/>
        <w:rPr>
          <w:rFonts w:ascii="Times New Roman" w:cs="Times New Roman" w:eastAsia="Times New Roman" w:hAnsi="Times New Roman"/>
          <w:sz w:val="18"/>
          <w:szCs w:val="18"/>
          <w:color w:val="auto"/>
        </w:rPr>
      </w:pPr>
    </w:p>
    <w:p>
      <w:pPr>
        <w:ind w:left="760" w:right="20" w:hanging="378"/>
        <w:spacing w:after="0" w:line="26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Package, Assembly and Testing</w:t>
      </w:r>
      <w:r>
        <w:rPr>
          <w:rFonts w:ascii="Times New Roman" w:cs="Times New Roman" w:eastAsia="Times New Roman" w:hAnsi="Times New Roman"/>
          <w:sz w:val="18"/>
          <w:szCs w:val="18"/>
          <w:color w:val="auto"/>
        </w:rPr>
        <w:t>. Upon the completion of processing at the foundry, we use third-party contractors for packaging, assembly,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testing, including Advanced Semiconductor Engineering, Inc. (“ASE”), Carsem (M) Sdn Bhd. (“Carsem”), and United Test and Assembly Center Ltd. (“UTAC”) in Taiwan, Malaysia, and Thailand, respectively, as well</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ind w:left="760"/>
        <w:spacing w:after="0"/>
        <w:rPr>
          <w:sz w:val="20"/>
          <w:szCs w:val="20"/>
          <w:color w:val="auto"/>
        </w:rPr>
      </w:pPr>
      <w:r>
        <w:rPr>
          <w:rFonts w:ascii="Times New Roman" w:cs="Times New Roman" w:eastAsia="Times New Roman" w:hAnsi="Times New Roman"/>
          <w:sz w:val="18"/>
          <w:szCs w:val="18"/>
          <w:color w:val="auto"/>
        </w:rPr>
        <w:t>as Daishinku Corp. (“Daishinku”), UTAC, Hana Semiconductor (Ayutthaya) Co., Ltd, and ASE for ceramic packaging for some of our products.</w:t>
      </w:r>
    </w:p>
    <w:p>
      <w:pPr>
        <w:spacing w:after="0" w:line="113" w:lineRule="exact"/>
        <w:rPr>
          <w:sz w:val="20"/>
          <w:szCs w:val="20"/>
          <w:color w:val="auto"/>
        </w:rPr>
      </w:pPr>
    </w:p>
    <w:p>
      <w:pPr>
        <w:ind w:left="760" w:right="440" w:hanging="378"/>
        <w:spacing w:after="0" w:line="28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Warehousing</w:t>
      </w:r>
      <w:r>
        <w:rPr>
          <w:rFonts w:ascii="Times New Roman" w:cs="Times New Roman" w:eastAsia="Times New Roman" w:hAnsi="Times New Roman"/>
          <w:sz w:val="18"/>
          <w:szCs w:val="18"/>
          <w:color w:val="auto"/>
        </w:rPr>
        <w:t>. Our products are warehoused at our outsourced semiconductor assembly and test facilities located in Malaysia, Taiwan,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Thailand.</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a supply agreement with Bosch under which Bosch has agreed to fabricate our MEMS wafers based on purchase orders placed by us. Bosch has discretion whether to accept our purchase orders, and we can terminate purchase orders for convenience by giving written notice prior to shipment. The initial term of the supply agreement is for ten years through February 2027 and automatically renews unless terminated by either party with three years’ advance notice beginning in February 2024. Other than Bosch, we do not have long-term supply agreements with most of our third-party manufacturing contractors, and we purchase products on a purchase order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depends on our ability to introduce enhancements on our existing products and to develop new products for both existing and new markets. As a result, a significant majority of our operating expenses has been allocated towards this effort. Our research and development efforts are focused primarily on MEMS and advanced clock IC design and advanced system-level integration for precision timing solutions.</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assembled a core team of experienced engineers and systems designers who conduct research and development activities in the United States, the Netherlands, Malaysia, Finland, Japan, Taiwan, and Ukraine. As of December 31, 2022, we had 211 full-time equivalent employees supporting research and development efforts worldwide (representing approximately 56% of our total employee base).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rely primarily on patent, copyright, trademark, and trade secret laws, as well as confidentiality and non-disclosure agreements, and other contractual protections, to protect our technologies and proprietary know-how. As of December 31, 2022, we had 99 issued U.S. patents, expiring generally between 2026 and 2039, and 43 pending U.S. patent applications (including 12 provisional applications). We also had three foreign issued patents expiring in 2036 and four pending foreign patent applications. Our issued patents and pending patent applications generally relate to our MEMS fabrication process, MEMS resonators, circuits, packaging, and oscillator systems.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own intellectual property, we also use third-party licenses for certain technologies embedded in our MEMS solutions. For example, we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180"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generally control access to and use of our confidential information and trade secrets through the use of internal and external controls, including contractual protections with employees, contractors, and customers. We rely in part on the laws of the United States and international laws to protect our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 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 w:name="page16"/>
    <w:bookmarkEnd w:id="15"/>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have in the past received, and we may in the future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global semiconductor market in general, and the timing market in particular, is highly competitive. We expect competition to increase and intensify as additional companies enter our markets and as internal resources of large original equipment manufacturers (“OEMs”) grow. Increased competition could result in price pressure, reduced gross margins, and loss of market share, any of which could harm our business, financial condition, and results of operations.</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competitors range from large, international companies offering a wide range of timing products to smaller companies specializing in narrow market verticals. Companies that we primarily compete with include, but are not limited to, Abracon, LLC, Daishinku Corporation, Kyocera Corporation, Microchip Technology Inc., Murata Manufacturing Co., Ltd, Nihon Dempa Kogoyo., Ltd., Rakon Limited, Renesas Electronics Corporation, Seiko Epson Corporation, Skyworks Solutions, Inc., Texas Instruments Incorporated, and TXC Corporation.</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During past periods of downturns in our industry, competition in the markets in which we operate intensified as our customers reduced their purchase orders. We maintain our competitive position through our ability to successfully design, develop, and market new and existing precision timing solutions in a timely manner and to retain existing customers and add new customers.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business activities are worldwide and subject to various federal, state, local and foreign regulations and our products are governed by a number of rules and regulations. To date, our compliance with these regulations has not had a material impact on our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 and Empowerment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believe that our company culture, which promotes innovation, open communication, and teamwork, has been critical to our success. Our success depends largely upon the continued services of our executive officers and other key employees and on our ability to continue to attract, retain and motivate qualified employees, particularly highly-skilled engineers involved in the design, development, support, and manufacture of new and existing products and processes, as well as our sales and marketing team which is critical to achieving design wins, creating our brand awareness and reputation, and building long-lasting relationships with our customers and other industry participants. In order for us to attract the best talent, we aim to offer challenging work in an environment that enables our employees to learn, grow, and reach their full potential.</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human capital resource objectives include identifying, recruiting, retaining, incentivizing and integrating our existing and future employees. We strive to attract and retain the most talented employees in the industry and across the globe by offering competitive compensation and benefits that support their health, financial, and emotional well-being. Our compensation philosophy is based on rewarding each employee’s individual contributions. We use a combination of fixed and variable pay including base salary, bonuses, performance awards and stock-based compensation. The principal purposes of our equity incentive plans are to attract, retain, and motivate selected employees through the granting of stock-based compensation awards. We offer employees benefits that vary by country and are designed to meet or exceed local laws and to be competitive in the marketplace. Examples of benefits offered in the U.S. include: a 401(k) plan with employer contributions; health benefits; life, business travel and disability insurance; additional voluntary insurance; paid time off and parental leave; and paid counseling assistance. For further information concerning our equity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ind w:right="460"/>
        <w:spacing w:after="0" w:line="282" w:lineRule="auto"/>
        <w:rPr>
          <w:sz w:val="20"/>
          <w:szCs w:val="20"/>
          <w:color w:val="auto"/>
        </w:rPr>
      </w:pPr>
      <w:r>
        <w:rPr>
          <w:rFonts w:ascii="Times New Roman" w:cs="Times New Roman" w:eastAsia="Times New Roman" w:hAnsi="Times New Roman"/>
          <w:sz w:val="18"/>
          <w:szCs w:val="18"/>
          <w:color w:val="auto"/>
        </w:rPr>
        <w:t>incentive plans, see Note 9, Stock-based Compensation, of the Notes to Consolidated Financial Statements contained in Part II, Item 8 of this Annual Report on Form 10-K.</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committed to the health, safety and wellness of our employees. We provide our employees and their families with access to a variety of health and wellness programs, including benefits that support their physical and mental health. We maintain an office in Lviv, Ukraine. In connection with Russia’s invasion of Ukraine in February 2022, we have prioritized the safety and welfare of our employees and their families in Ukraine. We also worked with our employees worldwide to minimize any disruption to our operations and business as a result of Russia’s invasion of Ukraine. In response to the COVID-19 pandemic, we implemented safety measures designed to protect our employees. We believe we have been able to preserve our business continuity without sacrificing our commitment to keeping our employees safe during the COVID-19 pandemic.</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regularly review our employees and assess the needs of the business to identify our talent needs. We encourage periodic and meaningful conversations between managers and employees, including discussions regarding feedback, alignment of goals, and professional development. We encourage all employees to continue learning and provide learning opportunities as well as internal opportunities for cross functional work to support this. We regularly review succession plans and focus on promoting internal talent to help grow our employees' careers.</w:t>
      </w:r>
    </w:p>
    <w:p>
      <w:pPr>
        <w:spacing w:after="0" w:line="180"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In an effort to continue to understand employee engagement and culture, we conducted a survey in 2022 and the survey results yielded an 8.5 out of 10 overall employee satisfaction rating, with particular mention of the benefits of the SiTime culture. We intend to survey our employees on an annual basis to enable us to respond to employee feedback, understand the evolution of the company culture, and improve team collaboration, efficiency and success.</w:t>
      </w:r>
    </w:p>
    <w:p>
      <w:pPr>
        <w:spacing w:after="0" w:line="15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we had 377 full-time equivalent employees located in the United States, France, Malaysia, the Netherlands, Taiwan, Japan, Finland and Ukraine, including 211 in research and development, 136 in sales, general, and administrative, and 30 in operations. We consider relations with our employees to be good and have never experienced a work stoppage.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on December 3, 2003. Our principal executive offices are located at 5451 Patrick Henry Drive, Santa Clara, California 95054, and our telephone number is (408) 328-4400. Our corporate website address is www.sitime.com. Information found on, or accessible through, our website is not a part of, and is not incorporated into, this Annual Report on Form 10-K. Unless the context requires otherwise, references in this Annual Report on Form 10-K to “SiTime,” “the company,” “we,” “us” and “our” refer to SiTime Corporation and its wholly-owned subsidiaries on a consolidated basis.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website is located at https://www.sitime.com.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The address of the website is www.sec.gov.</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macroeconomic conditions have harmed and may continue to harm our business.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trade restrictions and sanctions, and the COVID-19 pandemic have caused economic volatility, which has and may continue to harm our business, financial condition, and results of operations, and may cause an extended downturn in the worldwide economy, which would further harm our business, financial condition and results of operations. Economic volatility and adverse economic conditions have affected and may continue to affect the demand for our products and our customers’ products. Reduced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 w:name="page18"/>
    <w:bookmarkEnd w:id="17"/>
    <w:p>
      <w:pPr>
        <w:ind w:right="40"/>
        <w:spacing w:after="0" w:line="258" w:lineRule="auto"/>
        <w:rPr>
          <w:sz w:val="20"/>
          <w:szCs w:val="20"/>
          <w:color w:val="auto"/>
        </w:rPr>
      </w:pPr>
      <w:r>
        <w:rPr>
          <w:rFonts w:ascii="Times New Roman" w:cs="Times New Roman" w:eastAsia="Times New Roman" w:hAnsi="Times New Roman"/>
          <w:sz w:val="18"/>
          <w:szCs w:val="18"/>
          <w:color w:val="auto"/>
        </w:rPr>
        <w:t>demand for our customers’ products has led to a build-up of inventory at our customers and their affiliates, partners, and contract manufacturers, which has and may continue to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receivables due to credit defaults. As a result, global macroeconomic conditions have had and may continue to have a material adverse effect on our business,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adverse macroeconomic events such as global recessions, and we are currently experiencing a decrease in demand for our products. These downturns have been characterized by diminished product demand, production overcapacity, high inventory levels for us and our customers, and erosion of average selling prices. Any downturns in the semiconductor industry could harm our business, financial condition, and results of operations. In the last few years, the semiconductor industry experienced an upturn.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7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49%, 48%, and 59% of our revenue for the years ended December 31, 2022, 2021, and 2020, respectively. Based on our shipment information, we believe that revenue attributable to our ten largest end customers accounted for 47%, 49% and 58% of our revenue for the years ended December 31, 2022, 2021, and 2020, respectively. Sales attributable to Apple, our largest end customer accounted for approximately 20%, 22%, and 40% of our revenue for the years ended December 31, 2022, 2021, and 2020, respectively. Revenue attributable to this end customer increased in absolute dollars but decreased as a percentage of revenue from the year ended December 31, 2021 to 2022. We anticipate revenue attributable to this customer will fluctuate from period to period.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 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Because most of our sales are made pursuant to standard purchase orders, orders may be cancelled, reduced, or rescheduled with little or no notice and without penalty. Cancellations of orders could result in the loss of anticipated sales without allowing us sufficient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8" w:name="page19"/>
    <w:bookmarkEnd w:id="18"/>
    <w:p>
      <w:pPr>
        <w:spacing w:after="0" w:line="266" w:lineRule="auto"/>
        <w:rPr>
          <w:sz w:val="20"/>
          <w:szCs w:val="20"/>
          <w:color w:val="auto"/>
        </w:rPr>
      </w:pPr>
      <w:r>
        <w:rPr>
          <w:rFonts w:ascii="Times New Roman" w:cs="Times New Roman" w:eastAsia="Times New Roman" w:hAnsi="Times New Roman"/>
          <w:sz w:val="18"/>
          <w:szCs w:val="18"/>
          <w:color w:val="auto"/>
        </w:rPr>
        <w:t>time to reduce our inventory and operating expenses. In addition, changes in customer or end customer forecasts or the timing of orders from our customers could make demand for our products difficult for us to predict and could expose us to the risks of inventory shortages or excess inventory. This in turn could cause our operating results to fluctuate and could materially harm our results of operations.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7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7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8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There are currently a number of industry-wide supply constraints affecting the supply of analog circuits manufactured by certain foundries, including TSMC, and affecting outsourced semiconductor assembly and test providers (“OSATs”), which in the past has limited and may in the future limit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6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outsource the fabrication and assembly of all of our products to third parties that are primarily located in Germany and Asia. In addition, we conduct research and development activities in the United States, Japan, the Netherlands, Taiwan, Ukraine and Finland. We also conduct marketing and administrative functions in the United States, Japan, the Netherlands, China, Taiwan, Malaysia, and Ukraine. Certain of the critical functions for our business are performed in locations outside of the United States. Members of our sales force are located in various locations outside of the United States. In addition, approximately 88%, 94%, and 93% of our revenue for the years ended December 31, 2022, 2021, and 2020,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81" w:lineRule="exact"/>
        <w:rPr>
          <w:sz w:val="20"/>
          <w:szCs w:val="20"/>
          <w:color w:val="auto"/>
        </w:rPr>
      </w:pPr>
    </w:p>
    <w:p>
      <w:pPr>
        <w:ind w:left="1020" w:right="2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including manufacturing, assembly, and testing of our products and associated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military conflicts, including the effects of Russia’s invasion of Ukraine;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including the effects of rising inflation and increased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and vulnerability to theft of, our intellectual property rights, including our trade secrets;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0" w:name="page21"/>
    <w:bookmarkEnd w:id="20"/>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 including the ongoing trade tensions between the U.S. and China that has resulted in higher tariffs on certain semiconductor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exchange losses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policies which may impact our ability to hire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in foreign countries which may impact availability of personnel, such as mandatory military service in countries such as Ukraine;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and the impact of public health epidemics on employees and the global economy, such as the worldwide COVID-19 pandemic;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 and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work-from-home or other restrictions or stoppages, like those imposed by governments around the world as a result of the COVID-19 pandemic.</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and China. If political tensions between China and Taiwan were to increase further, it could disrupt our business and adversely affect our financial condition and results of operations given that we rely primarily on TSMC in Taiwan for our analog circuits.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restrictions, which significantly impacted our domestic and international operations and the operations of our suppliers, distributors, partners, and customers. At this point, the extent to which the COVID-19 pandemic may further impact our business remains uncertain but it may materially adversely affect our business, financial condition, or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operating results may fluctuate from period to period, which could cause our stock price to fluctuate.</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Though our ASP increased in 2022 compared to 2021, we may not be able to sustain ASP increases in the future. Factors relating to our business that may contribute to fluctuations in our operating results include the following factors, as well as other factors described elsewhere in this report:</w:t>
      </w:r>
    </w:p>
    <w:p>
      <w:pPr>
        <w:spacing w:after="0" w:line="75"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21" w:name="page22"/>
    <w:bookmarkEnd w:id="21"/>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and product life cycles;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reduction, or cancellation of, or changes in the forecasts or timing of, orders by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levels of inventories held by our distributors or end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delays, shortages, and capacity limitations;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products and technologies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product development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and introductions by us or our competitors;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costs and related new product expenditures and our ability to achieve cost reductions in a timely or predictable manner;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fluctuations in sales by product manufacturers that incorporate our precision timing solutions into their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end-market demand into which we have limited insight, including cyclicality, seasonality, and the competitive landscape;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suppliers,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warranty claims, including those not covered by our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 or changes in existing accounting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executive officers or other key employees;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product cost, and product mix.</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6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7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ind w:right="620"/>
        <w:spacing w:after="0" w:line="282" w:lineRule="auto"/>
        <w:rPr>
          <w:sz w:val="20"/>
          <w:szCs w:val="20"/>
          <w:color w:val="auto"/>
        </w:rPr>
      </w:pPr>
      <w:r>
        <w:rPr>
          <w:rFonts w:ascii="Times New Roman" w:cs="Times New Roman" w:eastAsia="Times New Roman" w:hAnsi="Times New Roman"/>
          <w:sz w:val="18"/>
          <w:szCs w:val="18"/>
          <w:color w:val="auto"/>
        </w:rPr>
        <w:t>introduce new or enhanced products that meet the needs of our customers or penetrate new markets in a timely fashion, and our designs do not gain acceptance, we will lose market share and our competitive position.</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 w:cs="Times New Roman" w:eastAsia="Times New Roman" w:hAnsi="Times New Roman"/>
          <w:sz w:val="18"/>
          <w:szCs w:val="18"/>
          <w:b w:val="1"/>
          <w:bCs w:val="1"/>
          <w:i w:val="1"/>
          <w:iCs w:val="1"/>
          <w:color w:val="auto"/>
        </w:rPr>
        <w:t>.</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timely develop commercially successful products under such arrangements as a result of any of these and other challenges could have a material adverse effect on our business, results of operations, and financial condition.</w:t>
      </w:r>
    </w:p>
    <w:p>
      <w:pPr>
        <w:spacing w:after="0" w:line="7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82"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target markets include the communications and enterprise, automotive, industrial, aerospace, and mobile, IoT, and consumer markets. Substantially all of our revenue to date has been attributable to sales of MEMS oscillators. We have expanded our products to include clock IC and timing sync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7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ind w:right="20"/>
        <w:spacing w:after="0" w:line="256" w:lineRule="auto"/>
        <w:rPr>
          <w:sz w:val="20"/>
          <w:szCs w:val="20"/>
          <w:color w:val="auto"/>
        </w:rPr>
      </w:pPr>
      <w:r>
        <w:rPr>
          <w:rFonts w:ascii="Times New Roman" w:cs="Times New Roman" w:eastAsia="Times New Roman" w:hAnsi="Times New Roman"/>
          <w:sz w:val="18"/>
          <w:szCs w:val="18"/>
          <w:color w:val="auto"/>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spacing w:after="0" w:line="7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5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w:t>
      </w:r>
    </w:p>
    <w:p>
      <w:pPr>
        <w:spacing w:after="0" w:line="7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If we increase operations in other currencies in the future, we may experience foreign exchange gains or losses due to the volatility of other currencies compared to the U.S. dollar. Certain of our employees are located in Malaysia, the Netherlands, Taiwan, Japan, Korea, Germany, Finland, France,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introduce and ship in volume new products in a timely manner, our business and revenue will suffer.</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affect our business, results of operations, and financial condition.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COVID-19 pandemic has impacted our workforce and the operations of our customers and suppliers. In response to the ongoing COVID-19 pandemic and related government measures, we implemented safety measures to protect our employees and contractors at our locations around the world. The effects of the ongoing COVID-19 pandemic on our business are evolving and difficult to predict. To date, the COVID-19 pandemic has significantly and negatively impacted the global economy and it is unclear how long the pandemic will continue to do so. Among other things, the continued COVID-19 pandemic may result in:</w:t>
      </w:r>
    </w:p>
    <w:p>
      <w:pPr>
        <w:spacing w:after="0" w:line="7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economic recession or depression that could significantly reduce demand and/or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productivity in our product development, operations, marketing, sales, and other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supply chain;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rate of losses on our accounts receivables due to credit defaults.</w:t>
      </w:r>
    </w:p>
    <w:p>
      <w:pPr>
        <w:spacing w:after="0" w:line="11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COVID-19 pandemic has also caused significant uncertainty and volatility in global financial markets and the trading prices for the common stock of technology companies, including us.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Though we believe the production capabilities of our suppliers have been impacted as a result of safety measures, closures of production facilities, lack of supplies, or delays caused by the COVID-19 pandemic, to date we believe we have experienced minimal impact from any delay and disruption in the manufacture, shipment, and sales of our products. However, as the COVID-19 pandemic continues, the effects of the pandemic, including timing and overall demand for our products, and availability of supply chain, may negatively and materially impact our business, results of operations, and financial condition. Further, as safety measures terminate and individuals return to work in offices, we may experience a reduction in demand for certain of our products that are incorporated in our customers’ products that experienced higher demand during the COVID-19 pandemic. Any disruption in the manufacture, shipment, or sales of our products may negatively and materially impact our operating results.</w:t>
      </w:r>
    </w:p>
    <w:p>
      <w:pPr>
        <w:spacing w:after="0" w:line="8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Given the changing nature and continuing uncertainty surrounding COVID-19 due to public health challenges, governmental directives, and economic disruption, and the duration of the foregoing, the potential impact that the COVID-19 pandemic could have on our business, results of operations, and financial condition, and on the other risk factors described in this “Risk Factors” section, remain unclear.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gross margins may fluctuate due to a variety of factors, which could negatively impact our results of operations and our financial condition.</w:t>
      </w:r>
    </w:p>
    <w:p>
      <w:pPr>
        <w:spacing w:after="0" w:line="12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in recent periods may not be indicative of future performance and our revenue may fluctuate over time.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recent revenue should not be considered indicative of our future performance. Our revenue was $283.6 million, $218.8 million, and $116.2 million for the years ended December 31, 2022, 2021, and 2020,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the impact of the COVID-19 pandemic, a decrease in the growth of our overall market or market saturation, or our failure to capitalize on growth opportunities.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effectively, we may not be able to execute our business plan and our operating results could suffer.</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7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5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in our products or failures to meet product specifications could harm our relationships with our customers and damage our reputation.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6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7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make the substantial investments that are required to remain competitive in our business.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we may lose or fail to gain market share, which could negatively impact our operating results and our business.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7" w:name="page28"/>
    <w:bookmarkEnd w:id="27"/>
    <w:p>
      <w:pPr>
        <w:ind w:right="40"/>
        <w:spacing w:after="0" w:line="255" w:lineRule="auto"/>
        <w:rPr>
          <w:sz w:val="20"/>
          <w:szCs w:val="20"/>
          <w:color w:val="auto"/>
        </w:rPr>
      </w:pPr>
      <w:r>
        <w:rPr>
          <w:rFonts w:ascii="Times New Roman" w:cs="Times New Roman" w:eastAsia="Times New Roman" w:hAnsi="Times New Roman"/>
          <w:sz w:val="18"/>
          <w:szCs w:val="18"/>
          <w:color w:val="auto"/>
        </w:rPr>
        <w:t>range of timing products to smaller companies, including start-ups, specializing in narrow market verticals. Companies that we primarily compete with include, but are not limited to, Abracon LLC, Daishinku Corporation,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spacing w:after="0" w:line="75" w:lineRule="exact"/>
        <w:rPr>
          <w:sz w:val="20"/>
          <w:szCs w:val="20"/>
          <w:color w:val="auto"/>
        </w:rPr>
      </w:pPr>
    </w:p>
    <w:p>
      <w:pPr>
        <w:ind w:left="1020" w:right="2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define, design, and regularly introduce new products that anticipate the functionality and integration needs of our customers’ next-generation products and applications;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strong and long-lasting relationships with our customers and other industry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capitalize on, and prevent losses due to, vertical integration by significant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those of competing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design wins;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success of our customers’ products utilizing our solutions within their competitive end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capabilities to provide innovative solutions and maintain our product roadmap;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 including those of our distributors, and our brand awareness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capacity with our foundry and assembly partners to manufacture and assemble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or respond to significant price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expand international operations in a cost-effective manner;</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potential patent infringement claims arising from third-parties;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promote and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right="240"/>
        <w:spacing w:after="0" w:line="266" w:lineRule="auto"/>
        <w:rPr>
          <w:sz w:val="20"/>
          <w:szCs w:val="20"/>
          <w:color w:val="auto"/>
        </w:rPr>
      </w:pPr>
      <w:r>
        <w:rPr>
          <w:rFonts w:ascii="Times New Roman" w:cs="Times New Roman" w:eastAsia="Times New Roman" w:hAnsi="Times New Roman"/>
          <w:sz w:val="18"/>
          <w:szCs w:val="18"/>
          <w:color w:val="auto"/>
        </w:rPr>
        <w:t>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spacing w:after="0" w:line="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culture has contributed to our success and if we cannot maintain this culture as we grow, our business could be harmed.</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54"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to identify, attract, reward, and retain people in leadership positions in our organization who share and further our culture, values, and mission;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size and geographic diversity of our workforce;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move in directions that may divert us from our mission, vision, and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challenges of a rapidly-evolving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need to develop expertise in new areas of business that affect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not able to maintain our culture, our business, financial condition, and results of operations could be adversely affected.</w:t>
      </w:r>
    </w:p>
    <w:p>
      <w:pPr>
        <w:spacing w:after="0" w:line="11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foundries with which we contract do not achieve satisfactory yields or quality, our reputation and customer relationships could be harmed.</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ind w:right="20"/>
        <w:spacing w:after="0" w:line="266" w:lineRule="auto"/>
        <w:rPr>
          <w:sz w:val="20"/>
          <w:szCs w:val="20"/>
          <w:color w:val="auto"/>
        </w:rPr>
      </w:pPr>
      <w:r>
        <w:rPr>
          <w:rFonts w:ascii="Times New Roman" w:cs="Times New Roman" w:eastAsia="Times New Roman" w:hAnsi="Times New Roman"/>
          <w:sz w:val="18"/>
          <w:szCs w:val="18"/>
          <w:color w:val="auto"/>
        </w:rPr>
        <w:t>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7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shortages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spacing w:after="0" w:line="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December 31, 2022</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substantially all of which are large distributors, OEMs, and system manufacturers, we had $0.1 million and $0.1 million in allowance for credit losses as of December 31, 2022 and December 31, 2021, respectively. If our credit losses, however, were to exceed our current or future allowance for credit losses, our business, financial condition, and results of operations would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predict our future capital needs, and we may not be able to obtain additional financing to fund our operations.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30" w:name="page31"/>
    <w:bookmarkEnd w:id="30"/>
    <w:p>
      <w:pPr>
        <w:ind w:right="540"/>
        <w:spacing w:after="0" w:line="282" w:lineRule="auto"/>
        <w:rPr>
          <w:sz w:val="20"/>
          <w:szCs w:val="20"/>
          <w:color w:val="auto"/>
        </w:rPr>
      </w:pPr>
      <w:r>
        <w:rPr>
          <w:rFonts w:ascii="Times New Roman" w:cs="Times New Roman" w:eastAsia="Times New Roman" w:hAnsi="Times New Roman"/>
          <w:sz w:val="18"/>
          <w:szCs w:val="18"/>
          <w:color w:val="auto"/>
        </w:rPr>
        <w:t>advantage of business opportunities, or respond to competitive pressures, which could negatively impact our revenue and the competitiveness of our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seek, or be required to seek, debt financing in the immediate or near term.</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7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significant tariffs or other trade restrictions are placed on our products or third-party suppliers, our revenue and results of operations may be materially harmed.</w:t>
      </w:r>
    </w:p>
    <w:p>
      <w:pPr>
        <w:spacing w:after="0" w:line="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and China then imposed certain retaliatory tariffs. It is uncertain what further alterations to trade terms between China and the United States may occur, including limiting trade with China and imposing additional tariffs on imports from China. In the event that these or future tariffs are imposed on imports of our products or on our third-party suppliers, or that China or other countries take retaliatory trade measures in response to existing or future tariffs or other trade restrictions, or that the United States imposes further restrictions on trade with China, our business may be impacted, and we may be required to raise prices or make changes to our operations, or we may not be able to sell our products to customers in China, any of which could materially harm our revenue or operating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laws associated with our activities outside of the United States could subject us to penalties and other adverse consequences.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environmental laws or regulations, including conflict minerals rules, could impair our ability to compete in international markets.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or future changes to U.S. and non-U.S. tax laws could materially adversely affect us.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government contracting regulations, we could suffer a loss of revenue or other penalties.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7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federal, and foreign laws and regulations related to privacy, data use, and security could adversely affect us.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18"/>
          <w:szCs w:val="18"/>
          <w:color w:val="auto"/>
        </w:rPr>
        <w:t>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and went into effect in January 2020. The CCPA includes a statutory damages framework and private rights of action against businesses that fail to comply with certain CCPA terms or implement reasonable security procedures and practices to prevent data breaches. Additionally, in November 2020, California voters passed the California Privacy Rights Act of 2020 (“CPRA”) which went into effect in January 2023. The CPRA imposes additional obligations on companies covered by the legislation and will significantly modify the CCPA, including by expanding the CCPA with additional data privacy compliance requirements that may impact our business. Several other states are considering similar legislation.</w:t>
      </w:r>
    </w:p>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Breaches or other disruptions of our security systems may damage our reputation and adversely affect our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security systems are designed to protect our and our customers’, suppliers’, and employees’ confidential information, as well as maintain the physical security of our facilities. We continue to assess and improve the quality of our networks, endpoints, security systems, and policies and procedures related to cybersecurity risks and incidents. We are not aware of any past cybersecurity incidents that have materially impacted our business. We may not have current capability to detect new or unknown security vulnerabilities. Cybersecurity threats, which include computer viruses, spyware, malware, ransomware, attempts to access information, denial of service attacks, and other electronic security breaches, are persistent and evolve quickly. Such threats have recently increased in frequency, scope, magnitude, and cost. Since the techniques used to obtain unauthorized access or to sabotage systems change frequently and are often not recognized until after they are launched against a target, we may be unable to anticipate these techniques or to implement adequate preventative measures.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w:t>
      </w:r>
    </w:p>
    <w:p>
      <w:pPr>
        <w:spacing w:after="0" w:line="8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We also rely on third-party cloud-based service providers of corporate infrastructure services relating to, among other things, human resources, electronic communication services, and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Any loss,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impacted by information technology system failures or network disruptions, and lack of redundancy.</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6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As of December 31, 2022, we had U.S. federal, state and foreign net operating loss (“NOL”), carryforwards of approximately $213.3 million, $65.3 million and $1.7 million, respectively, and U.S. federal and state research and development tax credit carryforwards of approximately $3.9 million and $3.6 million, respectively. The U.S. federal NOL carryforwards begin to expire in 2025, the state NOL carryforwards begin to expire in 2028, and the foreign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2022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CARES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December 31, 2022, we had 99 issued U.S. patents, expiring generally between 2026 and 2039 and 43 pending U.S. patent applications (including 12 provisional applications). We also had three foreign issued patents expiring in 2036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4" w:name="page35"/>
    <w:bookmarkEnd w:id="34"/>
    <w:p>
      <w:pPr>
        <w:spacing w:after="0" w:line="266" w:lineRule="auto"/>
        <w:rPr>
          <w:sz w:val="20"/>
          <w:szCs w:val="20"/>
          <w:color w:val="auto"/>
        </w:rPr>
      </w:pPr>
      <w:r>
        <w:rPr>
          <w:rFonts w:ascii="Times New Roman" w:cs="Times New Roman" w:eastAsia="Times New Roman" w:hAnsi="Times New Roman"/>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The District Court ruled in our favor, VTT filed an appeal with the U.S. Court of Appeals for the Federal Circuit (“CAFC”), on June 9, 2021, a hearing was held at the CAFC, and on June 10, 2021 the CAFC affirmed the District Court’s judgment.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8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if securities analysts or investors perceive these results to be negative, it could have a substantial adverse effect on the price of our common stock.</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applicable products, processes, or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 by us or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rights against others; or</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or end users to discontinue their use of or to replace infringing technology sold to them with non-infringing technology, if available.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results could adversely affect our business, financial condition, and results of operations.</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MegaChips Corporation’s Ownership Position in Our Common Stock</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MegaChips owns 5,000,000 shares of our common stock, representing approximately 23.0% of our outstanding common stock as of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so long as MegaChips or its successors in interest continue to hold the largest ownership position in our outstanding common stock, we expect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MegaChips to continue to hold at least one out of eight seats on our board of directors, and to be influential in electing members of our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long as MegaChips continues to be our largest stockholder, it will continue to have significant influence over us.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ind w:right="120"/>
        <w:spacing w:after="0" w:line="266" w:lineRule="auto"/>
        <w:rPr>
          <w:sz w:val="20"/>
          <w:szCs w:val="20"/>
          <w:color w:val="auto"/>
        </w:rPr>
      </w:pPr>
      <w:r>
        <w:rPr>
          <w:rFonts w:ascii="Times New Roman" w:cs="Times New Roman" w:eastAsia="Times New Roman" w:hAnsi="Times New Roman"/>
          <w:sz w:val="18"/>
          <w:szCs w:val="18"/>
          <w:color w:val="auto"/>
        </w:rPr>
        <w:t>For example, as long as MegaChips continues to hold a significant or the largest ownership position in our outstanding common stock, MegaChips may have the ability to affect the outcome of any stockholder vote during this period. As a result, MegaChips will have the ability to exert significant influence over many matters affecting us, either through its board representative or as a stockholder, including:</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our business plans and policies, including the appointment and removal of our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and other business combinations;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or disposition of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business opportunities that may be suitable for us and MegaChips;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available for issuance under our stock plans.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spacing w:after="0" w:line="6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between MegaChips and us in a number of areas relating to our past and ongoing relationships, including:</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MegaChips of all or any portion of its ownership interest in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MegaChips and us.</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may not be able to resolve any potential conflicts, and even if we do, the resolution may be less favorable than if we were dealing with an unaffiliated party.</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entered into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could be potential conflicts of interest between us and affiliates of MegaChips, which could impact our business and operating results.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stock could cause the market price of our common stock to decline.</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bylaws include provisions that:</w:t>
      </w:r>
    </w:p>
    <w:p>
      <w:pPr>
        <w:spacing w:after="0" w:line="99" w:lineRule="exact"/>
        <w:rPr>
          <w:sz w:val="20"/>
          <w:szCs w:val="20"/>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by a majority of directors then in office, even if less than a quorum;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7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may decline, resulting in a loss of some or all of our stockholder investment.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and volume of our common stock is likely to be volatile and could fluctuate significantly in response to numerous factors, many of which are beyond our control, including:</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with respect to developments, status, and impact on us, our competition, our constituents, and our suppliers of the COVID 19 global pandemic;</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significant customers of changes to their product offerings, business plans, or strategies;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the semiconductor industry;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seasonality of the end-market demand;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including as a result of trends in the economy as a whole;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the COVID-19 pandemic, or responses to these events.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in a leased facility in Santa Clara, California, consisting of approximately 50,400 square feet of office space under lease that expires in March 2027. This facility accommodates our principal engineering, sales, marketing, operations, finance, and administrative activities. We also lease offices in Michigan, Japan, Malaysia, the Netherlands, Taiwan, Finland, and Ukraine. We do not own any real property. We believe that our leased facilities are adequate to meet our current needs and that additional facilities will be available on commercially reasonable terms for lease to meet future needs.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a party to any legal proceedings the outcome of which, if determined adversely to us, would individually or in the aggregate have a material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7" w:right="45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0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has been quoted on the Nasdaq Global Market under the symbol “SITM” since our initial public offering in November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that time, there was no public market for our common stock.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February 9, 2023, there were 20 holders of record (not including beneficial holders of stock held in street names) of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never paid any cash dividends on our common stock. Our board of directors currently intends to retain any future earnings to support operations and to finance the growth and development of our business and does not intend to pay cash dividends on our common stock for the foreseeable future. Any future determination related to our dividend policy will be made at the discretion of our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information shall not be deemed to be soliciting material or to be filed with the SEC, or subject to Regulations 14A or 14C under the Exchange Act or to the liabilities of Section 18 of the Exchange Act nor shall such information be incorporated by reference into any future filing under the Securities Act or the Exchange Act, except to the extent that we specifically incorporate it by reference into such filing.</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following line graph compares for the period beginning November 21, 2019, the initial trading date of our common stock on the Nasdaq Global Market, and ending on December 31, 2022, the last day of our fiscal year, the cumulative total stockholder return for our common stock, the Nasdaq Composite Index and Philadelphia Semiconductor Index and assumes reinvestment of any dividends. The stockholder return shown in the graph below is not necessarily indicative of, nor is it intended to forecast, the potential future performance of our common stock,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128270</wp:posOffset>
            </wp:positionV>
            <wp:extent cx="4140200" cy="3240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4020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Base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Period</w:t>
            </w:r>
          </w:p>
        </w:tc>
        <w:tc>
          <w:tcPr>
            <w:tcW w:w="22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4"/>
                <w:szCs w:val="14"/>
                <w:color w:val="auto"/>
              </w:rPr>
            </w:pPr>
          </w:p>
        </w:tc>
        <w:tc>
          <w:tcPr>
            <w:tcW w:w="130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4"/>
                <w:szCs w:val="14"/>
                <w:color w:val="auto"/>
              </w:rPr>
            </w:pPr>
          </w:p>
        </w:tc>
      </w:tr>
      <w:tr>
        <w:trPr>
          <w:trHeight w:val="142"/>
        </w:trPr>
        <w:tc>
          <w:tcPr>
            <w:tcW w:w="31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Company Name/Index</w:t>
            </w: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11/21/2019</w:t>
            </w:r>
          </w:p>
        </w:tc>
        <w:tc>
          <w:tcPr>
            <w:tcW w:w="1420" w:type="dxa"/>
            <w:vAlign w:val="bottom"/>
            <w:gridSpan w:val="2"/>
          </w:tcPr>
          <w:p>
            <w:pPr>
              <w:jc w:val="right"/>
              <w:ind w:right="388"/>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340" w:type="dxa"/>
            <w:vAlign w:val="bottom"/>
            <w:gridSpan w:val="2"/>
          </w:tcPr>
          <w:p>
            <w:pPr>
              <w:jc w:val="right"/>
              <w:ind w:right="368"/>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500" w:type="dxa"/>
            <w:vAlign w:val="bottom"/>
            <w:gridSpan w:val="2"/>
          </w:tcPr>
          <w:p>
            <w:pPr>
              <w:jc w:val="right"/>
              <w:ind w:right="448"/>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1320" w:type="dxa"/>
            <w:vAlign w:val="bottom"/>
            <w:gridSpan w:val="2"/>
          </w:tcPr>
          <w:p>
            <w:pPr>
              <w:jc w:val="right"/>
              <w:ind w:right="368"/>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SiTime Corporation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150.89</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662.31</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1,731.01</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601.30</w:t>
            </w:r>
          </w:p>
        </w:tc>
        <w:tc>
          <w:tcPr>
            <w:tcW w:w="80" w:type="dxa"/>
            <w:vAlign w:val="bottom"/>
            <w:shd w:val="clear" w:color="auto" w:fill="CFF0FC"/>
          </w:tcPr>
          <w:p>
            <w:pPr>
              <w:spacing w:after="0"/>
              <w:rPr>
                <w:sz w:val="18"/>
                <w:szCs w:val="18"/>
                <w:color w:val="auto"/>
              </w:rPr>
            </w:pPr>
          </w:p>
        </w:tc>
      </w:tr>
      <w:tr>
        <w:trPr>
          <w:trHeight w:val="220"/>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Nasdaq composite index</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151.13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122.73</w:t>
            </w:r>
          </w:p>
        </w:tc>
        <w:tc>
          <w:tcPr>
            <w:tcW w:w="80" w:type="dxa"/>
            <w:vAlign w:val="bottom"/>
          </w:tcPr>
          <w:p>
            <w:pPr>
              <w:spacing w:after="0"/>
              <w:rPr>
                <w:sz w:val="19"/>
                <w:szCs w:val="19"/>
                <w:color w:val="auto"/>
              </w:rPr>
            </w:pPr>
          </w:p>
        </w:tc>
      </w:tr>
      <w:tr>
        <w:trPr>
          <w:trHeight w:val="239"/>
        </w:trPr>
        <w:tc>
          <w:tcPr>
            <w:tcW w:w="3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Philadelphia Semiconductor index</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233.06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149.55</w:t>
            </w:r>
          </w:p>
        </w:tc>
        <w:tc>
          <w:tcPr>
            <w:tcW w:w="8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592" w:right="10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Management’s Discussion and Analysis of Financial Condition and Results of Operations (“MD&amp;A”) should be read in conjunction with the financial statements and the notes thereto included elsewhere in this Annual Report on Form 10-K. The MD&amp;A contains forward-looking statements within the meaning of Section 27A of the Securities Act and Section 21E of the Exchange Act that involve risks and uncertainties, which are discussed under Item 1A.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a leading provider of precision timing solutions to the global electronics industry. Our precision timing solutions are the heartbeat of our customers’ electronic systems, providing the timing functionality that is needed for electronics to operate reliably and correctly. We provide solutions that are differentiated by high performance, high resilience, and high reliability, along with programmability, small size, and low power consumption. Our products have been designed into over 300 applications across our target markets, including communications and enterprise, automotive, industrial, aerospace, mobile, IoT and consumer.</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2022, we advanced our technology, expanded our product portfolio, increased our worldwide workforce, and generated a significant increase in revenue and profit. We saw continued strong revenue growth, increased gross margins and positive operating cash flow, but decreased operating margins. Our revenue has historically been subject to some seasonal variation. Based on the production schedules of key customers, our products typically see stronger revenue in the second half of our fiscal year. However, this was not the case in 2022 and there can be no assurance that this trend will occur in future years. Revenue grew 30% from $218.8 million in 2021 to $283.6 million in 2022. Gross margins increased from 64% in 2021 to 65% in 2022, while operating margins decreased from a 15% income in 2021 to a 6% income in 2022.</w:t>
      </w:r>
    </w:p>
    <w:p>
      <w:pPr>
        <w:spacing w:after="0" w:line="18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Commercial shipments of SiTime's first oscillator products began in 2006. Historically, our revenue has been substantially delivered from sales of oscillator systems across our target end markets. In addition to oscillator systems, we have expanded our products to include clock IC and timing sync solutions. We seek to expand our presence in our end markets across all product categories.</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sell our products primarily through distributors, who in turn sell to our end customers. We also sell products directly to some of our end customers. Based on sell-through information provided by our distributors, we believe the majority of our end customers are based in the U.S.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distributors or by shopping on our online store, SiTimeDirect™.</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operate a fabless business model, allowing us to focus on the design, sales, and marketing of our products, quickly scale production, and significantly reduce our capital expenditures. This model also allows us to operate with lower capital expenditure investment than other semiconductor companies who own fabs. A fabless infrastructure gives us production flexibility and the ability to scale capacity up and down quickly to meet demand. Our programmable architecture also plays a key role in ensuring optimal production flexibility, as it allows us to offer shorter lead times and the ability to meet custom requirements more easily.</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were acquired by MegaChips in 2014 and were a wholly-owned subsidiary of MegaChips, a fabless semiconductor company based in Japan and traded on the Tokyo Stock Exchange, until November 25, 2019. On November 25, 2019, we completed the initial public offering of shares of our common stock. In June 2020, we completed a follow-on public offering, in which we issued and sold 1,525,000 shares of our common stock and MegaChips sold 2,500,000 shares of our common stock held by it. In February 2021, we completed an additional follow-on public offering, in which we issued and sold 1,500,000 shares of our common stock and MegaChips sold 1,500,000 shares of our common stock held by it. In November 2021 we completed a follow-on public offering, in which we issued and sold 1,300,000 shares of our common stock and MegaChips sold 1,000,000 shares of our common stock held by it. In May 2022, the Company entered into a Sales Agreement ("Sales Agreement") with Stifel, Nicolaus &amp; Company, Incorporated ("Stifel"), under which we may offer and sell from time to time at our sole discretion, up to an aggregate of 800,000 shares of our common stock, par value $0.0001 per share, through Stifel as our sales agent. During the year ended December 31, 2022, we sold 225,334 shares of our common stock under the Sales Agreement. MegaChips continues to be our largest stockholder and held approximately 23.0% of our common stock as of December 31, 2022.</w:t>
      </w:r>
    </w:p>
    <w:p>
      <w:pPr>
        <w:spacing w:after="0" w:line="194"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There have been a number of industry-wide supply constraints affecting the supply of analog circuits manufactured by certain foundries, including Taiwan Semiconductor Manufacturing Company, and affecting outsourced semiconductor assembly and test providers. We believe that the effects of the industry-wide supply constraints on other timing device suppliers contributed in part to our revenue and gross margin growth in 2021 and the first half of 2022, however, we do not expect be able to sustain these revenue and gross margin increases in 2023. In addition, macroeconomic events such as rising inflation, fear of recession, equity market volatility, geopolitical tensions, war, decreased consumer spending, lower demand for electronic products following a period of strong demand during the COVID-19 pandemic, supply chain disruptions, and the COVID-19 pandemic measures implemented in China,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line="253" w:lineRule="auto"/>
        <w:rPr>
          <w:sz w:val="20"/>
          <w:szCs w:val="20"/>
          <w:color w:val="auto"/>
        </w:rPr>
      </w:pPr>
      <w:r>
        <w:rPr>
          <w:rFonts w:ascii="Times New Roman" w:cs="Times New Roman" w:eastAsia="Times New Roman" w:hAnsi="Times New Roman"/>
          <w:sz w:val="18"/>
          <w:szCs w:val="18"/>
          <w:color w:val="auto"/>
        </w:rPr>
        <w:t>harmed sales of our products and results of operations in 2022 and we expect will continue to do so in 2023. We believe that some of our customers built up inventory in our products in 2022 to overcome the industry-wide supply constraints that occurred in the previous periods and that the macroeconomic events in 2022 have led to reduced demand for our customers' products, which led to an inventory buildup at some of our customers and their affiliates, partners and contract manufacturers, which has adversely affected sales of our products. We believe that this inventory buildup will negatively impact the sales of our products until such inventory buildup is reduced. The inventory buildup at some of our customers and their affiliates, partners, and contract manufacturers could result in significant decreases in our sales, margins, and could materially harm our results of operations. The future effects of macroeconomic events on our business and results of operations, including inventory levels at our customer and their affiliates, partners, and contract manufacturers as well as demand for our products, are uncertain and difficult to predict. For additional discussion please see Part I, Item 1A Risk Factors of this report, especially the risk factor titled “Global macroeconomic conditions have harmed and may continue to harm our business” and “Our revenue and operating results may fluctuate from period to period, which could cause our stock price to fluctuate.”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COVID-19 pandemic continued to impact our workforce and the operations of our customers and suppliers during 2022. In response to the COVID-19 pandemic and related government measures, we implemented safety measures to protect our employees and contractors at our locations around the world.</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effects of the ongoing COVID-19 pandemic on our business are evolving and difficult to predict. The ultimate impact of the COVID-19 pandemic on our business, results of operations, and financial condition continues to depend on future developments which are not within our control and cannot be accurately predicted and are uncertain, including the duration, scope and severity of the pandemic, any additional resurgences, variants and the severity of variants, and the ability to effectively and widely manufacture and distribute vaccines.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Customer Orders and Forecasts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customers exposes us to the risks of inventory shortages or excess inventory. We may not be able to fulfill increased demand, at least in the short term, as we do not intend to acquire excess inventory to pre-build custom products.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Design Wins with New and Existing Customers</w:t>
      </w:r>
    </w:p>
    <w:p>
      <w:pPr>
        <w:spacing w:after="0" w:line="121"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Our solutions enable our customers to differentiate their product offerings and position themselves to gain market share. We work closely with our customers to understand their product roadmaps and strategies. Our end customers continuously develop new products in existing and new application areas. We also consider design wins critical to our future success and anticipate being increasingly dependent on revenue from new design wins for our new higher-end products with higher average selling prices (“ASPs”).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 of volume production of the customer’s products into which our product is designed could adversely affect our business.</w:t>
      </w: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and Product Life Cycles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Once customers design our precision timing solutions into their products, we closely monitor all aspects of their demand cycle, including the initial design phase, prototype production, volume production, and inventories, as well as end-market demand, including seasonality, cyclicality, and the competitive landscape. Given our customer relationships and the long-term aspects of our solutions, we benefit from visibility into customer demand. This in turn provides an opportunity for us to monitor and refine our business fundamentals.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Adoption within New Markets and Applications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As we evaluate new market opportunities and bring new products to market, we pay particular attention to forecasts by industry analysts and the adoption curve of technology. We also analyze in detail potential competing forces that could hinder such adoption. If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we fail to anticipate or respond to technological shifts or market demands, or to timely develop new or enhanced products or technologies in response to the same, it could result in decreased revenue and the loss of our design wins to our competitors.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Pricing, Product Cost, and Product Mix</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ASPs of our products vary significantly. While the ASP of any individual product generally decreases over time, our average ASPs have historically remained relatively flat as we continue to introduce new higher-end products with higher ASPs. Our pricing and margins depend on customer demand as well as the volumes and the features of the timing devices we provide to our customers. We continually monitor and work to reduce the cost of our products and improve the potential value our solutions provide to our customers as we target new design win opportunities and manage the product life cycles of our existing customer designs. Since we rely on third-party wafer foundries and assembly and test contractors to manufacture, assemble, and test our products, we maintain a close relationship with our suppliers to improve quality and increase yields.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Gross margin, or gross profit as a percentage of revenue, has been, and will continue to be, affected by a variety of factors, including ASPs, and product mix in a given period, material costs, yields, inventory write-downs and manufacturing operations costs. We believe the primary driver of gross margin is the ASPs negotiated between us and our customers relative to material costs and yield improvement. As our products mature and unit volumes increase, we expect their ASPs to decline. These declines often coincide with improvements in manufacturing yields and lower wafer, assembly, and testing costs, which offset some or all of the margin reduction that results from lower ASPs. However, we expect our gross margin to fluctuate on a quarterly basis as a result of changes in ASPs due to new product introductions, existing product transitions into high-volume manufacturing, manufacturing costs, and our product mix.</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Cyclical Nature of the Semiconductor Industry</w:t>
      </w:r>
    </w:p>
    <w:p>
      <w:pPr>
        <w:spacing w:after="0" w:line="121"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adverse macroeconomic events such as global recessions, and we are currently experiencing a decrease in demand for our products. Downturns in the semiconductor industry have been characterized by diminished product demand, production overcapacity, high inventory levels, and accelerated erosion of average selling prices. Any prolonged or significant downturn in the semiconductor industry generally could adversely affect our business and reduce demand for our products and otherwise harm our business, financial condition and results of operations. In the last few years, the semiconductor industry experienced an upturn. However, this was not the case in second half of 2022 and as a result sales of our products declined in the second half of 2022.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presented.</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Revenue</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Cost of revenue</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Gross profit</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Income (loss) from operations</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36" w:lineRule="exact"/>
        <w:rPr>
          <w:sz w:val="20"/>
          <w:szCs w:val="20"/>
          <w:color w:val="auto"/>
        </w:rPr>
      </w:pPr>
    </w:p>
    <w:p>
      <w:pPr>
        <w:jc w:val="right"/>
        <w:ind w:left="580" w:right="760"/>
        <w:spacing w:after="0" w:line="282" w:lineRule="auto"/>
        <w:rPr>
          <w:sz w:val="20"/>
          <w:szCs w:val="20"/>
          <w:color w:val="auto"/>
        </w:rPr>
      </w:pPr>
      <w:r>
        <w:rPr>
          <w:rFonts w:ascii="Times New Roman" w:cs="Times New Roman" w:eastAsia="Times New Roman" w:hAnsi="Times New Roman"/>
          <w:sz w:val="18"/>
          <w:szCs w:val="18"/>
          <w:color w:val="auto"/>
        </w:rPr>
        <w:t>Net income (loss) attributable to common stockholders and comprehensive income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20" w:type="dxa"/>
            <w:vAlign w:val="bottom"/>
          </w:tcPr>
          <w:p>
            <w:pPr>
              <w:spacing w:after="0"/>
              <w:rPr>
                <w:sz w:val="16"/>
                <w:szCs w:val="16"/>
                <w:color w:val="auto"/>
              </w:rPr>
            </w:pPr>
          </w:p>
        </w:tc>
        <w:tc>
          <w:tcPr>
            <w:tcW w:w="230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 2022 vs 2021</w:t>
            </w:r>
          </w:p>
        </w:tc>
      </w:tr>
      <w:tr>
        <w:trPr>
          <w:trHeight w:val="169"/>
        </w:trPr>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r>
      <w:tr>
        <w:trPr>
          <w:trHeight w:val="164"/>
        </w:trPr>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34"/>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283,605</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218,808</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116,156</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64,797</w:t>
            </w:r>
          </w:p>
        </w:tc>
        <w:tc>
          <w:tcPr>
            <w:tcW w:w="2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30 %</w:t>
            </w:r>
          </w:p>
        </w:tc>
      </w:tr>
      <w:tr>
        <w:trPr>
          <w:trHeight w:val="256"/>
        </w:trPr>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100,643</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79,346</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58,224</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21,297</w:t>
            </w:r>
          </w:p>
        </w:tc>
        <w:tc>
          <w:tcPr>
            <w:tcW w:w="20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r>
      <w:tr>
        <w:trPr>
          <w:trHeight w:val="228"/>
        </w:trPr>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2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31 %</w:t>
            </w:r>
          </w:p>
        </w:tc>
      </w:tr>
      <w:tr>
        <w:trPr>
          <w:trHeight w:val="481"/>
        </w:trPr>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38,184</w:t>
            </w:r>
          </w:p>
        </w:tc>
        <w:tc>
          <w:tcPr>
            <w:tcW w:w="20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73 %</w:t>
            </w:r>
          </w:p>
        </w:tc>
      </w:tr>
      <w:tr>
        <w:trPr>
          <w:trHeight w:val="257"/>
        </w:trPr>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76,532</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54,515</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20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r>
      <w:tr>
        <w:trPr>
          <w:trHeight w:val="237"/>
        </w:trPr>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166,820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60,201</w:t>
            </w:r>
          </w:p>
        </w:tc>
        <w:tc>
          <w:tcPr>
            <w:tcW w:w="2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56 %</w:t>
            </w:r>
          </w:p>
        </w:tc>
      </w:tr>
      <w:tr>
        <w:trPr>
          <w:trHeight w:val="228"/>
        </w:trPr>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(16,701 )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8"/>
        </w:trPr>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2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r>
        <w:trPr>
          <w:trHeight w:val="257"/>
        </w:trPr>
        <w:tc>
          <w:tcPr>
            <w:tcW w:w="22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(97 )</w:t>
            </w:r>
          </w:p>
        </w:tc>
        <w:tc>
          <w:tcPr>
            <w:tcW w:w="2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(488 )</w:t>
            </w:r>
          </w:p>
        </w:tc>
        <w:tc>
          <w:tcPr>
            <w:tcW w:w="200" w:type="dxa"/>
            <w:vAlign w:val="bottom"/>
          </w:tcPr>
          <w:p>
            <w:pPr>
              <w:spacing w:after="0"/>
              <w:rPr>
                <w:sz w:val="22"/>
                <w:szCs w:val="22"/>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(758 )</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8"/>
        </w:trPr>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(9,019 )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52"/>
        </w:trPr>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(82 )</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(78 )</w:t>
            </w:r>
          </w:p>
        </w:tc>
        <w:tc>
          <w:tcPr>
            <w:tcW w:w="200" w:type="dxa"/>
            <w:vAlign w:val="bottom"/>
          </w:tcPr>
          <w:p>
            <w:pPr>
              <w:spacing w:after="0"/>
              <w:rPr>
                <w:sz w:val="21"/>
                <w:szCs w:val="21"/>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32,277</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(9,372 )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(9,023 )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-2185670</wp:posOffset>
            </wp:positionV>
            <wp:extent cx="641223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-1868170</wp:posOffset>
            </wp:positionV>
            <wp:extent cx="641223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-1559560</wp:posOffset>
            </wp:positionV>
            <wp:extent cx="641223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-1242695</wp:posOffset>
            </wp:positionV>
            <wp:extent cx="6412230" cy="4718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4718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-607695</wp:posOffset>
            </wp:positionV>
            <wp:extent cx="641223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-290830</wp:posOffset>
            </wp:positionV>
            <wp:extent cx="641223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4400" w:space="720"/>
            <w:col w:w="6120"/>
          </w:cols>
          <w:pgMar w:left="320" w:top="657" w:right="339" w:bottom="1440" w:gutter="0" w:footer="0" w:header="0"/>
          <w:type w:val="continuous"/>
        </w:sectPr>
      </w:pPr>
    </w:p>
    <w:p>
      <w:pPr>
        <w:spacing w:after="0" w:line="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 discussion of changes in our results of operations from fiscal 2020 to fiscal 2021 has been omitted from this Form 10-K, but may be found in “Item 7. Management’s Discussion and Analysis of Financial Condition and Results of Operations” of our Form 10-K for fiscal 2021 filed with the Securities and Exchange Commission on February 25,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derive revenue primarily from sales of precision timing solutions to distributors who in turn sell to our end customers.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 2022 vs 2021</w:t>
            </w:r>
          </w:p>
        </w:tc>
      </w:tr>
      <w:tr>
        <w:trPr>
          <w:trHeight w:val="169"/>
        </w:trPr>
        <w:tc>
          <w:tcPr>
            <w:tcW w:w="33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r>
      <w:tr>
        <w:trPr>
          <w:trHeight w:val="169"/>
        </w:trPr>
        <w:tc>
          <w:tcPr>
            <w:tcW w:w="3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283,605</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218,808</w:t>
            </w:r>
          </w:p>
        </w:tc>
        <w:tc>
          <w:tcPr>
            <w:tcW w:w="2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116,156</w:t>
            </w:r>
          </w:p>
        </w:tc>
        <w:tc>
          <w:tcPr>
            <w:tcW w:w="2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64,797</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-132715</wp:posOffset>
            </wp:positionV>
            <wp:extent cx="641223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2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Revenue increased by $64.8 million, or 30%, for 2022 compared to 2021. The increase was primarily related to an increase in ASPs of our products, a 2% increase in volume of shipments year over year and $2.7 million in revenue recorded from the waiver of accrued customer rebate. The ASP increase was related to change in mix of the higher ASP products we shipped. The increase in sales volume was driven by higher demand for our products from new and existing customers. We do not expect to be able to sustain our revenue growth or ASP increases in 2023 as we face lower demand due to macroeconomic conditions and more pricing pressure.</w:t>
      </w:r>
    </w:p>
    <w:p>
      <w:pPr>
        <w:spacing w:after="0" w:line="224"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top ten direct customers, including distributors, accounted for approximately 74%, 76% and 80% of net revenues in 2022, 2021, and 2020, respectively. In 2022, 2021, and 2020, three customers, which are distributors of our products, each accounted for more than 10% of our net revenues. International sales represented approximately 88%, 94%, and 93% of net revenues in 2022, 2021, and 2020,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 2022 vs 2021</w:t>
            </w:r>
          </w:p>
        </w:tc>
      </w:tr>
      <w:tr>
        <w:trPr>
          <w:trHeight w:val="169"/>
        </w:trPr>
        <w:tc>
          <w:tcPr>
            <w:tcW w:w="3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100,643</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79,346</w:t>
            </w:r>
          </w:p>
        </w:tc>
        <w:tc>
          <w:tcPr>
            <w:tcW w:w="280" w:type="dxa"/>
            <w:vAlign w:val="bottom"/>
          </w:tcPr>
          <w:p>
            <w:pPr>
              <w:spacing w:after="0"/>
              <w:rPr>
                <w:sz w:val="18"/>
                <w:szCs w:val="18"/>
                <w:color w:val="auto"/>
              </w:rPr>
            </w:pP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58,224</w:t>
            </w:r>
          </w:p>
        </w:tc>
        <w:tc>
          <w:tcPr>
            <w:tcW w:w="26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182,962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139,462</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57,932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65 %</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64 %</w:t>
            </w:r>
          </w:p>
        </w:tc>
        <w:tc>
          <w:tcPr>
            <w:tcW w:w="8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50 %</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-436245</wp:posOffset>
            </wp:positionV>
            <wp:extent cx="641223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24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Gross profit increased by $43.5 million in the year ended December 31, 2022 compared to the same period in 2021. Gross profit increased $49.9 million mainly from an increase in ASPs of our products and $2.7 million from the reversal of a customer rebate. This increase was offset by higher other manufacturing and overhead costs of $6.1 million.</w:t>
      </w:r>
    </w:p>
    <w:p>
      <w:pPr>
        <w:spacing w:after="0" w:line="20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Gross margin was higher by 1% in the year ended December 31, 2022 compared to the same period in 2021. The gross margin increased by 2% from higher sales volume and an increase in ASPs and was offset by 1% increase in our other manufacturing costs.</w:t>
      </w:r>
    </w:p>
    <w:p>
      <w:pPr>
        <w:spacing w:after="0" w:line="202"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to continue to see increases in our manufacturing costs in fiscal year 2023 due to an industry wide increase in costs. We believe that the effects of the industry-wide supply constraints on other timing device suppliers contributed in part to our gross margin growth in 2021 and the first half of 2022, however we do not expect to be able to sustain these gross margin increases in 2023. Gross margin may fluctuate from time to time due to a variety of factors. For additional discussion please see Part I, Item 1A Risk Factors of this report, especially the risk factor titled “Our gross margins may fluctuate due to a variety of factors, which could negatively impact our results of operations and our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 2022 vs 2021</w:t>
            </w:r>
          </w:p>
        </w:tc>
      </w:tr>
      <w:tr>
        <w:trPr>
          <w:trHeight w:val="169"/>
        </w:trPr>
        <w:tc>
          <w:tcPr>
            <w:tcW w:w="33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86"/>
              </w:rPr>
              <w:t>thousands except percentage)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90,288</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52,104</w:t>
            </w:r>
          </w:p>
        </w:tc>
        <w:tc>
          <w:tcPr>
            <w:tcW w:w="2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31,652</w:t>
            </w:r>
          </w:p>
        </w:tc>
        <w:tc>
          <w:tcPr>
            <w:tcW w:w="2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38,184</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46"/>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76,532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54,515</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34,893</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22,017</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2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166,820</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106,619</w:t>
            </w:r>
          </w:p>
        </w:tc>
        <w:tc>
          <w:tcPr>
            <w:tcW w:w="28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66,545</w:t>
            </w:r>
          </w:p>
        </w:tc>
        <w:tc>
          <w:tcPr>
            <w:tcW w:w="24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60,201</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0"/>
        </w:trPr>
        <w:tc>
          <w:tcPr>
            <w:tcW w:w="3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-325120</wp:posOffset>
            </wp:positionV>
            <wp:extent cx="6412230" cy="325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12230" cy="3257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efforts are focused on the design and development of precision timing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$38.2 million, or 73%, for the year ended December 31, 2022 compared to the same period in 2021, primarily due to ongoing new product related expenses of $14.2 million, an increase in stock-based compensation expense of $13.5 million, higher personnel costs of $13.0 million due to increased headcount, and an increase in depreciation and amortization of lab equipment and licenses of $2.6 million, offset by an increase of non-recurring engineering contra-expense recognized of $6.6 million.</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is no guarantee we will enter into a non-recurring engineering arrangement or recognize such contra-expense in any future period. Based on our current contracts, we expect the non-recurring engineering contra-expense to decline in future periods.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$22.0 million, or 40%, for the year ended December 31, 2022 compared to the same period in 2021, primarily due to higher stock-based compensation expense of $13.4 million, higher consulting fees of $5.1 million, higher personnel costs of $1.9 million related to increased headcount, and higher advertising spend of $0.8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Other Expense</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Interest income and other expense consists primarily of interest expense on our outstanding debt, interest income on our cash balances, and foreign exchange gains and losses. See Note 7 to our consolidated financial statements under Item 8 for more information about our debt.</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Change 2022 vs 2021</w:t>
            </w:r>
          </w:p>
        </w:tc>
      </w:tr>
      <w:tr>
        <w:trPr>
          <w:trHeight w:val="169"/>
        </w:trPr>
        <w:tc>
          <w:tcPr>
            <w:tcW w:w="32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5"/>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82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7,291</w:t>
            </w: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7,291</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9"/>
                <w:szCs w:val="19"/>
                <w:color w:val="auto"/>
              </w:rPr>
            </w:pPr>
          </w:p>
        </w:tc>
      </w:tr>
      <w:tr>
        <w:trPr>
          <w:trHeight w:val="226"/>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8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(97 )</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(488 )</w:t>
            </w:r>
          </w:p>
        </w:tc>
        <w:tc>
          <w:tcPr>
            <w:tcW w:w="280" w:type="dxa"/>
            <w:vAlign w:val="bottom"/>
          </w:tcPr>
          <w:p>
            <w:pPr>
              <w:spacing w:after="0"/>
              <w:rPr>
                <w:sz w:val="19"/>
                <w:szCs w:val="19"/>
                <w:color w:val="auto"/>
              </w:rPr>
            </w:pPr>
          </w:p>
        </w:tc>
        <w:tc>
          <w:tcPr>
            <w:tcW w:w="11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(758 )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60" w:type="dxa"/>
            <w:vAlign w:val="bottom"/>
            <w:gridSpan w:val="4"/>
          </w:tcPr>
          <w:p>
            <w:pPr>
              <w:ind w:left="820"/>
              <w:spacing w:after="0"/>
              <w:rPr>
                <w:sz w:val="20"/>
                <w:szCs w:val="20"/>
                <w:color w:val="auto"/>
              </w:rPr>
            </w:pPr>
            <w:r>
              <w:rPr>
                <w:rFonts w:ascii="Times New Roman" w:cs="Times New Roman" w:eastAsia="Times New Roman" w:hAnsi="Times New Roman"/>
                <w:sz w:val="16"/>
                <w:szCs w:val="16"/>
                <w:color w:val="auto"/>
                <w:w w:val="95"/>
              </w:rPr>
              <w:t>(80 %)</w:t>
            </w:r>
          </w:p>
        </w:tc>
      </w:tr>
      <w:tr>
        <w:trPr>
          <w:trHeight w:val="266"/>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interest income and other expense, net</w:t>
            </w: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2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Interest income and other expense increased $7.7 million for the year ended December 31, 2022 compared to the same period in 2021, primarily related to higher interest income earned on short term investments and net unrealized gain on foreign exchange rates due to increased activities in our foreign subsidiaries and favorable exchange rate fluctuations.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net operation losses (NOL), carryforwards, and tax credits related primarily to research and development. We expect to maintain this full valuation allowance until realization of the deferred tax assets becomes more likely than not. At December 31, 2022 and 2021, we had federal NOL carry-forwards of approximately $213.3 million and $259.6 million, respectively, state NOL carry-forwards of approximately $65.3 million and $64.5 million, respectively, and foreign NOL carry-forwards of approximately $1.7 million and $2.3 million, respectively. These federal, state, and foreign net operating loss carry-forwards will expire beginning in 2025, 2028, and 2028, respectively. At December 31, 2022 and 2021, we had research and development tax credit carryforwards of approximately $3.9 million and $3.9 million, respectively for U.S. federal income tax purposes and $3.6 million and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9" w:name="page50"/>
    <w:bookmarkEnd w:id="49"/>
    <w:p>
      <w:pPr>
        <w:spacing w:after="0" w:line="282" w:lineRule="auto"/>
        <w:rPr>
          <w:sz w:val="20"/>
          <w:szCs w:val="20"/>
          <w:color w:val="auto"/>
        </w:rPr>
      </w:pPr>
      <w:r>
        <w:rPr>
          <w:rFonts w:ascii="Times New Roman" w:cs="Times New Roman" w:eastAsia="Times New Roman" w:hAnsi="Times New Roman"/>
          <w:sz w:val="18"/>
          <w:szCs w:val="18"/>
          <w:color w:val="auto"/>
        </w:rPr>
        <w:t>$3.6 million, respectively for state income tax purposes. The research and development credit carryforwards for federal tax purposes will begin to expire in 2025, and state tax credits carry forward indefinitely.</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Change 2022 vs 2021</w:t>
            </w:r>
          </w:p>
        </w:tc>
      </w:tr>
      <w:tr>
        <w:trPr>
          <w:trHeight w:val="169"/>
        </w:trPr>
        <w:tc>
          <w:tcPr>
            <w:tcW w:w="3280" w:type="dxa"/>
            <w:vAlign w:val="bottom"/>
          </w:tcPr>
          <w:p>
            <w:pPr>
              <w:spacing w:after="0"/>
              <w:rPr>
                <w:sz w:val="14"/>
                <w:szCs w:val="14"/>
                <w:color w:val="auto"/>
              </w:rPr>
            </w:pPr>
          </w:p>
        </w:tc>
        <w:tc>
          <w:tcPr>
            <w:tcW w:w="8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(in</w:t>
            </w:r>
          </w:p>
        </w:tc>
        <w:tc>
          <w:tcPr>
            <w:tcW w:w="20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5"/>
              </w:rPr>
              <w:t>thousands except percentage)</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80" w:type="dxa"/>
            <w:vAlign w:val="bottom"/>
            <w:shd w:val="clear" w:color="auto" w:fill="CFF0FC"/>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(82 )   $</w:t>
            </w:r>
          </w:p>
        </w:tc>
        <w:tc>
          <w:tcPr>
            <w:tcW w:w="1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(78 )   $</w:t>
            </w:r>
          </w:p>
        </w:tc>
        <w:tc>
          <w:tcPr>
            <w:tcW w:w="15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(1 )  $</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(4 )</w:t>
            </w:r>
          </w:p>
        </w:tc>
        <w:tc>
          <w:tcPr>
            <w:tcW w:w="920" w:type="dxa"/>
            <w:vAlign w:val="bottom"/>
            <w:shd w:val="clear" w:color="auto" w:fill="CFF0FC"/>
          </w:tcPr>
          <w:p>
            <w:pPr>
              <w:jc w:val="right"/>
              <w:ind w:right="284"/>
              <w:spacing w:after="0"/>
              <w:rPr>
                <w:sz w:val="20"/>
                <w:szCs w:val="20"/>
                <w:color w:val="auto"/>
              </w:rPr>
            </w:pPr>
            <w:r>
              <w:rPr>
                <w:rFonts w:ascii="Times New Roman" w:cs="Times New Roman" w:eastAsia="Times New Roman" w:hAnsi="Times New Roman"/>
                <w:sz w:val="16"/>
                <w:szCs w:val="16"/>
                <w:color w:val="auto"/>
              </w:rPr>
              <w:t>5%</w:t>
            </w: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and 2021, we had cash and cash equivalents of $34.6 million and $559.5 million, respectively. As of December 31, 2022 we also held $529.5 million of short-term investments in held-to-maturity securities which consisted of treasury bills. Our principal use of cash is to fund our operations and to support growth.</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February 2021, we completed a follow-on public offering, in which we issued and sold 1,500,000 shares of our common stock, resulting in net proceeds to us of $181.6 million after deducting underwriting discounts and commissions and deferred offering costs.</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November 2021, we completed a follow-on public offering, in which we issued and sold 1,300,000 shares of our common stock, resulting in net proceeds to us of $279.0 million after deducting underwriting discounts and commissions and deferred offering costs.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May 2022, we entered into a Sales Agreement with Stifel, under which we may offer and sell from time to time at our sole discretion, up to an aggregate of 800,000 shares of our common stock, par value $0.0001 per share, through Stifel as our sales agent. The Company intends to use the net proceeds from the shares of common stock offered and sold to primarily replenish funds expended to satisfy anticipated tax withholding and remittance obligations related to the net settlement upon vesting of restricted stock unit awards (“RSU”) granted to employees under the equity incentive plans. During the year ended December 31, 2022, we sold 225,334 shares of our common stock under the Sales Agreement at a weighted average price of $150.78 per share resulting in net proceeds to us of $33.0 million, after deducting underwriting discounts and commissions and deferred offering costs.</w:t>
      </w:r>
    </w:p>
    <w:p>
      <w:pPr>
        <w:spacing w:after="0" w:line="7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purchase obligations primarily include design and simulation licenses. For information about our contractual obligations refer to "Note 5 - Lease" and “Note 9 – Commitments and Contingencies” of the Notes to Consolidated Financial Statements.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our investing activities, primarily in the purchase of property and equipment and capitalized software, to support research and development, sales and marketing, product support, and administrative staff.</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our short-term investments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(560,088 )</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(33,788 )</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(7,793 )</w:t>
            </w: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(4,522 )</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460,646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shd w:val="clear" w:color="auto" w:fill="CFF0FC"/>
          </w:tcPr>
          <w:p>
            <w:pPr>
              <w:spacing w:after="0"/>
              <w:rPr>
                <w:sz w:val="21"/>
                <w:szCs w:val="2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(524,858 </w:t>
            </w:r>
            <w:r>
              <w:rPr>
                <w:rFonts w:ascii="Times New Roman" w:cs="Times New Roman" w:eastAsia="Times New Roman" w:hAnsi="Times New Roman"/>
                <w:sz w:val="18"/>
                <w:szCs w:val="18"/>
                <w:color w:val="auto"/>
                <w:highlight w:val="white"/>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485,936</w:t>
            </w:r>
          </w:p>
        </w:tc>
        <w:tc>
          <w:tcPr>
            <w:tcW w:w="20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8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-187960</wp:posOffset>
            </wp:positionV>
            <wp:extent cx="5143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2022, net cash provided by operating activities of $39.8 million was primarily due to net income of $23.3 million and non-cash expenses of $67.5 million, partially offset by a change in operating assets and liabilities of $51.0 million. Non-cash expenses were mainly related to depreciation and amortization, stock-based compensation expense and unrealized interest on held to maturity investments. The changes in operating assets and liabilities resulted in cash provided primarily due to higher accounts receivable due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0" w:name="page51"/>
    <w:bookmarkEnd w:id="50"/>
    <w:p>
      <w:pPr>
        <w:ind w:right="60"/>
        <w:spacing w:after="0" w:line="266" w:lineRule="auto"/>
        <w:rPr>
          <w:sz w:val="20"/>
          <w:szCs w:val="20"/>
          <w:color w:val="auto"/>
        </w:rPr>
      </w:pPr>
      <w:r>
        <w:rPr>
          <w:rFonts w:ascii="Times New Roman" w:cs="Times New Roman" w:eastAsia="Times New Roman" w:hAnsi="Times New Roman"/>
          <w:sz w:val="18"/>
          <w:szCs w:val="18"/>
          <w:color w:val="auto"/>
        </w:rPr>
        <w:t>to timing of shipments, an increase in inventories as we managed our inventory levels, higher prepaid expenses and other assets related to advance payments to suppliers for inventory and royalties, higher accrued expenses and other liabilities due to timing of payments, offset by an increase in accounts payable.</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2021, net cash provided by operating activities of $59.1 million was primarily due to net income of $32.3 million and non-cash expenses of $39.9 million, partially offset by a change in operating assets and liabilities of $13.1 million, non-cash expenses were mainly related to depreciation and amortization and stock-based compensation expense. The changes in operating assets and liabilities resulted in cash provided primarily due to higher accounts receivables due to timing of shipments and an increase in inventories as we managed our inventory levels, partially offset by lower prepaid expenses and other current assets related to advance payments to suppliers for inventory and higher accounts payable and accrued expenses and other liabilities due to timing of payments.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investing activities consist primarily of purchase of short-term investments,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8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2022, cash used in investing activities was $560.1 million. We paid $673.4 million to purchase short-term investments in held-to-maturity securities. We paid $31.8 million largely to purchase test and other manufacturing equipment to support the increase in demand of our products and other property and equipment for general business purposes. We paid $3.9 million to purchase intangible assets in software licenses. All such payments were offset by $149.0 million proceeds from the maturity of held to maturity investments.</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2021, cash used in investing activities was $33.8 million. We paid $30.9 million largely to purchase test and other manufacturing equipment to support the increase in demand of our products and other property and equipment for general business purposes. We paid $2.9 million to purchase intangible assets.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financing activities have primarily consisted of proceeds from issuance of shares and withholding of taxes on restricted stock units.</w:t>
      </w:r>
    </w:p>
    <w:p>
      <w:pPr>
        <w:spacing w:after="0" w:line="11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sold 225,334 shares of our common stock under the Sales Agreement resulting in net proceeds to us of $33.0 million, after deducting underwriting discounts and commissions of $0.7 million and deferred offering costs of $0.2 million. The net proceeds from the Sales Agreement were offset by tax withholdings paid on behalf of employees for net share settlement of $37.6 million.</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completed follow-on public offerings, in which we issued and sold 2,800,000 shares of common stock resulting in net proceeds of $460.6 million, consisting of proceeds from issuance of shares of $461.3 million net of underwriting commissions and discounts of $21.7 million and deferred offering costs of $0.6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75"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The critical accounting policies requiring estimates, assumptions, and judgments that we believe have the most significant impact on our consolidated financial statements are described below.</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derive our revenue from product sales to distributors, who in turn sell to original equipment manufacturers or other end customers. We recognize product revenue, at a point in time, upon shipment when we satisfy our performance obligations as evidenced by the transfer of control of our products to customers. We measure revenue based on the amount of consideration we expect to be entitled to in exchange for products. Variable consideration is estimated and reflected as an adjustment to the transaction price. Depending on the terms of the contract, variable consideration is estimated using either the expected value approach or the most likely value approach. We determine variable consideration at the end of each reporting period, which consists primarily of price adjustments and product returns by estimating the amount of consideration we expect to receive from our customers based on historical experience. Our distributors have limited return rights under our contracts with them. If variable considerations are anticipated to exceed historical experience, we may adjust our sales returns allowance accordingly to properly reflect our net revenue. Since our performance obligations relate to contracts with a duration of less than one year, we do not disclose the aggregate amount of the transaction price allocated to performance obligations that are unsatisfied or partially unsatisfied at the end of the reporting period.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Inventories consist of raw materials, work-in-process, and finished goods and are stated at the lower of standard cost, determined using first-in first out method or market net realizable value. We review and set standard costs to approximate actual manufacturing costs. We perform detailed reviews of the net realizable value of inventories, both on hand as well as for inventories that we are committed to purchase at the end of each reporting period. We write-down the inventory value for estimated deterioration, excess, obsolete and other factors based on management’s assessment of future demand and market conditions of our inventory. These estimates may include uncertain elements such as our demand forecast. These forecasts are developed based on current backlogs, inputs from our customers, and internal analyses which may consist of customer historical purchasing trends and level of inventory in the distributor channel, actual and anticipated design wins, market and economic conditions, technology changes, new product introductions, changes in strategic direction and other factors. If our demand forecast for specific products is greater than actual demand and we fail to reduce manufacturing output accordingly, we could be required to write down additional inventory, which would have a negative impact on our gross margin. Once written-down, inventory write-downs are not reversed until the inventory is sold or scrapped. In the second half of 2022, we acquired inventory in excess of consumption mainly to increase our buffer inventory levels.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measured at the grant date based on the fair value of the equity award and is recognized as expense over the requisite service period, which is generally the vesting period. We have elected to recognize forfeitures as they occur.</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each restricted stock unit is estimated based on the market price of our common shares on the date of grant.</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amortize stock-based compensation expense for time-based awards under the straight-line attribution method over the vesting period. Stock-based compensation expense for performance-based awards is recognized when it becomes probable that the performance conditions will be met. We amortize stock-based compensation expense for performance-based awards using the accelerated method. The Company recognizes the expense related to the multi-year performance based restricted stock unit awards on a graded-vesting method over the requisite service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Deferred tax liabilities and assets are recognized for the expected future tax consequences of temporary differences between financial statement carrying amounts and the tax basis of assets and liabilities and net operating loss and tax credit carryforwards. Valuation allowances are established when necessary to reduce deferred tax assets to a level which, more likely than not, will be realized.</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 tax position can be recognized only if it is more likely than not to be sustained based solely on its technical merits as of the reporting date and then only in an amount more likely than not to be sustained upon review by the tax authorities. We consider many factors when evaluating and estimating its tax positions and tax benefits, which may require periodic adjustments and which may not accurately anticipate actual outcomes.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2 to our consolidated financial statements under Item 8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Finland, Korea, Germany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policy with respect to foreign currency exchange risk.</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of $34.6 million and $559.5 million as of December 31, 2022 and 2021, respectively, consisting of bank deposits, money market funds, and treasury bills. We also had short-term investments in held-to-maturity securities of $529.5 million consisting of treasury bills as of December 31, 2022. Such interest-earning instruments carry a degree of interest rate risk. During the year ended December 31, 2022 we generated $7.3 million in interest income due to higher cash, cash equivalents and short-term investment balances, and rising interest rates.</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 The effect of a hypothetical 10% change in interest rates applicable to our business would not have a material impact on our historical consolidated financial statements.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Financial Statement Schedule</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84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(BDO USA, LLP, San Jose, California, PCAOB ID#243)</w:t>
            </w:r>
          </w:p>
        </w:tc>
        <w:tc>
          <w:tcPr>
            <w:tcW w:w="1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71"/>
        </w:trPr>
        <w:tc>
          <w:tcPr>
            <w:tcW w:w="102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72"/>
        </w:trPr>
        <w:tc>
          <w:tcPr>
            <w:tcW w:w="102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72"/>
        </w:trPr>
        <w:tc>
          <w:tcPr>
            <w:tcW w:w="3580" w:type="dxa"/>
            <w:vAlign w:val="bottom"/>
            <w:tcBorders>
              <w:top w:val="single" w:sz="8" w:color="0000FF"/>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820" w:type="dxa"/>
            <w:vAlign w:val="bottom"/>
            <w:tcBorders>
              <w:top w:val="single" w:sz="8" w:color="0000FF"/>
            </w:tcBorders>
          </w:tcPr>
          <w:p>
            <w:pPr>
              <w:spacing w:after="0"/>
              <w:rPr>
                <w:sz w:val="24"/>
                <w:szCs w:val="24"/>
                <w:color w:val="auto"/>
              </w:rPr>
            </w:pPr>
          </w:p>
        </w:tc>
        <w:tc>
          <w:tcPr>
            <w:tcW w:w="484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72"/>
        </w:trPr>
        <w:tc>
          <w:tcPr>
            <w:tcW w:w="29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34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71"/>
        </w:trPr>
        <w:tc>
          <w:tcPr>
            <w:tcW w:w="102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31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39"/>
        </w:trPr>
        <w:tc>
          <w:tcPr>
            <w:tcW w:w="102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682"/>
        </w:trPr>
        <w:tc>
          <w:tcPr>
            <w:tcW w:w="3560" w:type="dxa"/>
            <w:vAlign w:val="bottom"/>
            <w:tcBorders>
              <w:top w:val="single" w:sz="8" w:color="0000FF"/>
            </w:tcBorders>
            <w:gridSpan w:val="4"/>
          </w:tcPr>
          <w:p>
            <w:pPr>
              <w:spacing w:after="0"/>
              <w:rPr>
                <w:sz w:val="24"/>
                <w:szCs w:val="24"/>
                <w:color w:val="auto"/>
              </w:rPr>
            </w:pPr>
          </w:p>
        </w:tc>
        <w:tc>
          <w:tcPr>
            <w:tcW w:w="4840" w:type="dxa"/>
            <w:vAlign w:val="bottom"/>
            <w:gridSpan w:val="3"/>
          </w:tcPr>
          <w:p>
            <w:pPr>
              <w:jc w:val="right"/>
              <w:ind w:right="2680"/>
              <w:spacing w:after="0"/>
              <w:rPr>
                <w:sz w:val="20"/>
                <w:szCs w:val="20"/>
                <w:color w:val="auto"/>
              </w:rPr>
            </w:pPr>
            <w:r>
              <w:rPr>
                <w:rFonts w:ascii="Times New Roman" w:cs="Times New Roman" w:eastAsia="Times New Roman" w:hAnsi="Times New Roman"/>
                <w:sz w:val="18"/>
                <w:szCs w:val="18"/>
                <w:color w:val="auto"/>
              </w:rPr>
              <w:t>53</w:t>
            </w: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SiTime Corporation (the “Company”) as of December 31, 2022 and 2021, the related consolidated statements of operations and comprehensive income (loss), stockholders’ equity, and cash flows for each of the three years in the period ended December 31, 2022,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accounting principles generally accepted in the United States of America.</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(“COSO”) and our report dated February 27, 2023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Valuation of Inventory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Company’s consolidated inventory balance is stated at lower of cost or net realizable value. The valuation of inventory is adjusted by the Company when conditions indicate a decline in value due to obsolescence and is based on estimates for inventory levels in excess of management’s forecasted demand. Forecasting customer demand can be challenging as certain judgments are required to determine if and how changing market conditions will impact future demand.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valuation of inventory as a critical audit matter due to certain judgments required by Management related to forecasting future demand for excess units on hand based on the Company’s historical sales and market conditions. Auditing these judgments involved especially subjective auditor judgment due to the nature and extent of audit effort required to address these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management’s inventory valuation methodology, including qualitative and quantitative factors, designed to identify excess units on hand based on ending inventory quantities compared to forecasted shipment quantities.</w:t>
      </w:r>
    </w:p>
    <w:p>
      <w:pPr>
        <w:spacing w:after="0" w:line="26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judgments related to forecasted customer demand by (i) performing retrospective review of the Company’s prior year estimates to actual results, and (ii) evaluating the reasonableness of sales forecasts by comparing to current backlog and historical sales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4"/>
                <w:szCs w:val="14"/>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559,461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 in held-to-maturity securities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529,494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23,630</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669,067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625,943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750,616</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678,209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21"/>
                <w:szCs w:val="21"/>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- 200,000 shares authorized;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21,702 and 20,825 shares issued and outstanding at</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2022 and 2021</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716,343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663,614</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(7,865 )</w:t>
            </w:r>
          </w:p>
        </w:tc>
        <w:tc>
          <w:tcPr>
            <w:tcW w:w="16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(31,119 )</w:t>
            </w: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708,480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632,497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750,616</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678,209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-3625215</wp:posOffset>
            </wp:positionV>
            <wp:extent cx="6858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-2682240</wp:posOffset>
            </wp:positionV>
            <wp:extent cx="123444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34440" cy="1797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-2039620</wp:posOffset>
            </wp:positionV>
            <wp:extent cx="6858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-1405255</wp:posOffset>
            </wp:positionV>
            <wp:extent cx="6858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283,605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218,808</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100,643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79,346</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182,962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139,462</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54,515</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166,820</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106,619</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66,545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32,843</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(8,613 )</w:t>
            </w: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0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(488 )</w:t>
            </w:r>
          </w:p>
        </w:tc>
        <w:tc>
          <w:tcPr>
            <w:tcW w:w="3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(78 )</w:t>
            </w:r>
          </w:p>
        </w:tc>
        <w:tc>
          <w:tcPr>
            <w:tcW w:w="3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Borders>
              <w:top w:val="single" w:sz="8" w:color="auto"/>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32,277</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2"/>
        </w:trPr>
        <w:tc>
          <w:tcPr>
            <w:tcW w:w="57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Net income (loss) attributable to common stockholders and</w:t>
            </w:r>
          </w:p>
        </w:tc>
        <w:tc>
          <w:tcPr>
            <w:tcW w:w="1000" w:type="dxa"/>
            <w:vAlign w:val="bottom"/>
            <w:vMerge w:val="restart"/>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160" w:type="dxa"/>
            <w:vAlign w:val="bottom"/>
          </w:tcPr>
          <w:p>
            <w:pPr>
              <w:spacing w:after="0"/>
              <w:rPr>
                <w:sz w:val="16"/>
                <w:szCs w:val="16"/>
                <w:color w:val="auto"/>
              </w:rPr>
            </w:pPr>
          </w:p>
        </w:tc>
        <w:tc>
          <w:tcPr>
            <w:tcW w:w="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32,277</w:t>
            </w:r>
          </w:p>
        </w:tc>
        <w:tc>
          <w:tcPr>
            <w:tcW w:w="260" w:type="dxa"/>
            <w:vAlign w:val="bottom"/>
          </w:tcPr>
          <w:p>
            <w:pPr>
              <w:spacing w:after="0"/>
              <w:rPr>
                <w:sz w:val="16"/>
                <w:szCs w:val="16"/>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(9,372 )</w:t>
            </w:r>
          </w:p>
        </w:tc>
        <w:tc>
          <w:tcPr>
            <w:tcW w:w="0" w:type="dxa"/>
            <w:vAlign w:val="bottom"/>
          </w:tcPr>
          <w:p>
            <w:pPr>
              <w:spacing w:after="0"/>
              <w:rPr>
                <w:sz w:val="1"/>
                <w:szCs w:val="1"/>
                <w:color w:val="auto"/>
              </w:rPr>
            </w:pPr>
          </w:p>
        </w:tc>
      </w:tr>
      <w:tr>
        <w:trPr>
          <w:trHeight w:val="207"/>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8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1000" w:type="dxa"/>
            <w:vAlign w:val="bottom"/>
            <w:vMerge w:val="restart"/>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spacing w:after="0"/>
              <w:rPr>
                <w:sz w:val="16"/>
                <w:szCs w:val="16"/>
                <w:color w:val="auto"/>
              </w:rPr>
            </w:pPr>
          </w:p>
        </w:tc>
        <w:tc>
          <w:tcPr>
            <w:tcW w:w="3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(0.58 )</w:t>
            </w:r>
          </w:p>
        </w:tc>
        <w:tc>
          <w:tcPr>
            <w:tcW w:w="0" w:type="dxa"/>
            <w:vAlign w:val="bottom"/>
          </w:tcPr>
          <w:p>
            <w:pPr>
              <w:spacing w:after="0"/>
              <w:rPr>
                <w:sz w:val="1"/>
                <w:szCs w:val="1"/>
                <w:color w:val="auto"/>
              </w:rPr>
            </w:pPr>
          </w:p>
        </w:tc>
      </w:tr>
      <w:tr>
        <w:trPr>
          <w:trHeight w:val="227"/>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 basic</w:t>
            </w:r>
          </w:p>
        </w:tc>
        <w:tc>
          <w:tcPr>
            <w:tcW w:w="1000" w:type="dxa"/>
            <w:vAlign w:val="bottom"/>
            <w:vMerge w:val="continue"/>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80" w:type="dxa"/>
            <w:vAlign w:val="bottom"/>
            <w:vMerge w:val="continue"/>
            <w:shd w:val="clear" w:color="auto" w:fill="CFF0FC"/>
          </w:tcPr>
          <w:p>
            <w:pPr>
              <w:spacing w:after="0"/>
              <w:rPr>
                <w:sz w:val="19"/>
                <w:szCs w:val="19"/>
                <w:color w:val="auto"/>
              </w:rPr>
            </w:pPr>
          </w:p>
        </w:tc>
        <w:tc>
          <w:tcPr>
            <w:tcW w:w="12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vMerge w:val="continue"/>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Net income (loss) per share attributable to common</w:t>
            </w:r>
          </w:p>
        </w:tc>
        <w:tc>
          <w:tcPr>
            <w:tcW w:w="1000" w:type="dxa"/>
            <w:vAlign w:val="bottom"/>
            <w:vMerge w:val="restart"/>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16"/>
                <w:szCs w:val="16"/>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(0.58 )</w:t>
            </w:r>
          </w:p>
        </w:tc>
        <w:tc>
          <w:tcPr>
            <w:tcW w:w="0" w:type="dxa"/>
            <w:vAlign w:val="bottom"/>
          </w:tcPr>
          <w:p>
            <w:pPr>
              <w:spacing w:after="0"/>
              <w:rPr>
                <w:sz w:val="1"/>
                <w:szCs w:val="1"/>
                <w:color w:val="auto"/>
              </w:rPr>
            </w:pPr>
          </w:p>
        </w:tc>
      </w:tr>
      <w:tr>
        <w:trPr>
          <w:trHeight w:val="207"/>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diluted</w:t>
            </w:r>
          </w:p>
        </w:tc>
        <w:tc>
          <w:tcPr>
            <w:tcW w:w="10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8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shares used to compute basic</w:t>
            </w:r>
          </w:p>
        </w:tc>
        <w:tc>
          <w:tcPr>
            <w:tcW w:w="1000" w:type="dxa"/>
            <w:vAlign w:val="bottom"/>
            <w:shd w:val="clear" w:color="auto" w:fill="CFF0FC"/>
          </w:tcPr>
          <w:p>
            <w:pPr>
              <w:spacing w:after="0"/>
              <w:rPr>
                <w:sz w:val="16"/>
                <w:szCs w:val="16"/>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0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7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shares used to compute diluted</w:t>
            </w:r>
          </w:p>
        </w:tc>
        <w:tc>
          <w:tcPr>
            <w:tcW w:w="10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-2433955</wp:posOffset>
            </wp:positionV>
            <wp:extent cx="7747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-2433955</wp:posOffset>
            </wp:positionV>
            <wp:extent cx="6858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-1482090</wp:posOffset>
            </wp:positionV>
            <wp:extent cx="2434590" cy="316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34590" cy="31686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-899795</wp:posOffset>
            </wp:positionV>
            <wp:extent cx="2434590"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34590" cy="31750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-316865</wp:posOffset>
            </wp:positionV>
            <wp:extent cx="2434590" cy="3175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34590" cy="31750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040" w:type="dxa"/>
            <w:vAlign w:val="bottom"/>
            <w:gridSpan w:val="3"/>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04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0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2019</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14,968</w:t>
            </w:r>
          </w:p>
        </w:tc>
        <w:tc>
          <w:tcPr>
            <w:tcW w:w="1020" w:type="dxa"/>
            <w:vAlign w:val="bottom"/>
            <w:gridSpan w:val="2"/>
            <w:shd w:val="clear" w:color="auto" w:fill="CFF0FC"/>
          </w:tcPr>
          <w:p>
            <w:pPr>
              <w:jc w:val="right"/>
              <w:ind w:right="62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116,162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(54,024 )</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(9,372 )</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(9,372 )</w:t>
            </w:r>
          </w:p>
        </w:tc>
        <w:tc>
          <w:tcPr>
            <w:tcW w:w="0" w:type="dxa"/>
            <w:vAlign w:val="bottom"/>
          </w:tcPr>
          <w:p>
            <w:pPr>
              <w:spacing w:after="0"/>
              <w:rPr>
                <w:sz w:val="1"/>
                <w:szCs w:val="1"/>
                <w:color w:val="auto"/>
              </w:rPr>
            </w:pPr>
          </w:p>
        </w:tc>
      </w:tr>
      <w:tr>
        <w:trPr>
          <w:trHeight w:val="20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follow-on public offering net of underwriting</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discounts and commissions and other offering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shares upon vesting of restricted stock units, net of tax withholdings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(3,493 )</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(3,493 )</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(63,396 )</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29,694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follow-on public offerings net of underwriting</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discounts and commissions and other offering costs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460,646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shares upon vesting of restricted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20,825</w:t>
            </w:r>
          </w:p>
        </w:tc>
        <w:tc>
          <w:tcPr>
            <w:tcW w:w="220" w:type="dxa"/>
            <w:vAlign w:val="bottom"/>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663,614</w:t>
            </w:r>
          </w:p>
        </w:tc>
        <w:tc>
          <w:tcPr>
            <w:tcW w:w="2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(31,119</w:t>
            </w:r>
          </w:p>
        </w:tc>
        <w:tc>
          <w:tcPr>
            <w:tcW w:w="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632,497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23,254</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At-The-Market offering net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underwriting discounts and commissions and other offering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shares upon vesting of restricted stock units, net of tax withholdings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(37,552 )</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(37,552 )</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21,702</w:t>
            </w:r>
          </w:p>
        </w:tc>
        <w:tc>
          <w:tcPr>
            <w:tcW w:w="220" w:type="dxa"/>
            <w:vAlign w:val="bottom"/>
          </w:tcPr>
          <w:p>
            <w:pPr>
              <w:spacing w:after="0"/>
              <w:rPr>
                <w:sz w:val="19"/>
                <w:szCs w:val="19"/>
                <w:color w:val="auto"/>
              </w:rPr>
            </w:pP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716,343</w:t>
            </w:r>
          </w:p>
        </w:tc>
        <w:tc>
          <w:tcPr>
            <w:tcW w:w="20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(7,865 )</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-1911350</wp:posOffset>
            </wp:positionV>
            <wp:extent cx="7683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-1911350</wp:posOffset>
            </wp:positionV>
            <wp:extent cx="6858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-1911350</wp:posOffset>
            </wp:positionV>
            <wp:extent cx="6858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-1911350</wp:posOffset>
            </wp:positionV>
            <wp:extent cx="6858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-1911350</wp:posOffset>
            </wp:positionV>
            <wp:extent cx="6858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-179070</wp:posOffset>
            </wp:positionV>
            <wp:extent cx="76835"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-179070</wp:posOffset>
            </wp:positionV>
            <wp:extent cx="68580"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-179070</wp:posOffset>
            </wp:positionV>
            <wp:extent cx="68580"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-179070</wp:posOffset>
            </wp:positionV>
            <wp:extent cx="6858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2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(loss)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23,254</w:t>
            </w:r>
          </w:p>
        </w:tc>
        <w:tc>
          <w:tcPr>
            <w:tcW w:w="1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32,277</w:t>
            </w:r>
          </w:p>
        </w:tc>
        <w:tc>
          <w:tcPr>
            <w:tcW w:w="24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(9,372 )</w:t>
            </w:r>
          </w:p>
        </w:tc>
      </w:tr>
      <w:tr>
        <w:trPr>
          <w:trHeight w:val="198"/>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6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6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6,402</w:t>
            </w:r>
          </w:p>
        </w:tc>
        <w:tc>
          <w:tcPr>
            <w:tcW w:w="100" w:type="dxa"/>
            <w:vAlign w:val="bottom"/>
          </w:tcPr>
          <w:p>
            <w:pPr>
              <w:spacing w:after="0"/>
              <w:rPr>
                <w:sz w:val="19"/>
                <w:szCs w:val="19"/>
                <w:color w:val="auto"/>
              </w:rPr>
            </w:pPr>
          </w:p>
        </w:tc>
      </w:tr>
      <w:tr>
        <w:trPr>
          <w:trHeight w:val="233"/>
        </w:trPr>
        <w:tc>
          <w:tcPr>
            <w:tcW w:w="6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57,415</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29,992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16,009</w:t>
            </w:r>
          </w:p>
        </w:tc>
        <w:tc>
          <w:tcPr>
            <w:tcW w:w="100" w:type="dxa"/>
            <w:vAlign w:val="bottom"/>
            <w:shd w:val="clear" w:color="auto" w:fill="CFF0FC"/>
          </w:tcPr>
          <w:p>
            <w:pPr>
              <w:spacing w:after="0"/>
              <w:rPr>
                <w:sz w:val="20"/>
                <w:szCs w:val="20"/>
                <w:color w:val="auto"/>
              </w:rPr>
            </w:pPr>
          </w:p>
        </w:tc>
      </w:tr>
      <w:tr>
        <w:trPr>
          <w:trHeight w:val="226"/>
        </w:trPr>
        <w:tc>
          <w:tcPr>
            <w:tcW w:w="6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Inventory write-down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100" w:type="dxa"/>
            <w:vAlign w:val="bottom"/>
          </w:tcPr>
          <w:p>
            <w:pPr>
              <w:spacing w:after="0"/>
              <w:rPr>
                <w:sz w:val="19"/>
                <w:szCs w:val="19"/>
                <w:color w:val="auto"/>
              </w:rPr>
            </w:pPr>
          </w:p>
        </w:tc>
      </w:tr>
      <w:tr>
        <w:trPr>
          <w:trHeight w:val="233"/>
        </w:trPr>
        <w:tc>
          <w:tcPr>
            <w:tcW w:w="6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Impairment of internal-use software</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100" w:type="dxa"/>
            <w:vAlign w:val="bottom"/>
            <w:shd w:val="clear" w:color="auto" w:fill="CFF0FC"/>
          </w:tcPr>
          <w:p>
            <w:pPr>
              <w:spacing w:after="0"/>
              <w:rPr>
                <w:sz w:val="20"/>
                <w:szCs w:val="20"/>
                <w:color w:val="auto"/>
              </w:rPr>
            </w:pPr>
          </w:p>
        </w:tc>
      </w:tr>
      <w:tr>
        <w:trPr>
          <w:trHeight w:val="226"/>
        </w:trPr>
        <w:tc>
          <w:tcPr>
            <w:tcW w:w="6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Unrealized interest on held to maturity securities</w:t>
            </w: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(5,055 )</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6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FF0FC"/>
          </w:tcPr>
          <w:p>
            <w:pPr>
              <w:spacing w:after="0"/>
              <w:rPr>
                <w:sz w:val="20"/>
                <w:szCs w:val="20"/>
                <w:color w:val="auto"/>
              </w:rPr>
            </w:pPr>
          </w:p>
        </w:tc>
      </w:tr>
      <w:tr>
        <w:trPr>
          <w:trHeight w:val="226"/>
        </w:trPr>
        <w:tc>
          <w:tcPr>
            <w:tcW w:w="65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6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Accounts receivable, net</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(2,853 )</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(14,456 )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(6,261 )</w:t>
            </w:r>
          </w:p>
        </w:tc>
      </w:tr>
      <w:tr>
        <w:trPr>
          <w:trHeight w:val="226"/>
        </w:trPr>
        <w:tc>
          <w:tcPr>
            <w:tcW w:w="6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Related party accounts receivable</w:t>
            </w:r>
          </w:p>
        </w:tc>
        <w:tc>
          <w:tcPr>
            <w:tcW w:w="3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Pr>
          <w:p>
            <w:pPr>
              <w:spacing w:after="0"/>
              <w:rPr>
                <w:sz w:val="19"/>
                <w:szCs w:val="19"/>
                <w:color w:val="auto"/>
              </w:rPr>
            </w:pPr>
          </w:p>
        </w:tc>
      </w:tr>
      <w:tr>
        <w:trPr>
          <w:trHeight w:val="233"/>
        </w:trPr>
        <w:tc>
          <w:tcPr>
            <w:tcW w:w="6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(36,992 )</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(13,096 )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(2,070 )</w:t>
            </w:r>
          </w:p>
        </w:tc>
      </w:tr>
      <w:tr>
        <w:trPr>
          <w:trHeight w:val="226"/>
        </w:trPr>
        <w:tc>
          <w:tcPr>
            <w:tcW w:w="6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(7,460 )</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(1,859 )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w:t>
            </w:r>
          </w:p>
        </w:tc>
        <w:tc>
          <w:tcPr>
            <w:tcW w:w="100" w:type="dxa"/>
            <w:vAlign w:val="bottom"/>
          </w:tcPr>
          <w:p>
            <w:pPr>
              <w:spacing w:after="0"/>
              <w:rPr>
                <w:sz w:val="19"/>
                <w:szCs w:val="19"/>
                <w:color w:val="auto"/>
              </w:rPr>
            </w:pPr>
          </w:p>
        </w:tc>
      </w:tr>
      <w:tr>
        <w:trPr>
          <w:trHeight w:val="233"/>
        </w:trPr>
        <w:tc>
          <w:tcPr>
            <w:tcW w:w="65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2,468</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5,826</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2,606</w:t>
            </w:r>
          </w:p>
        </w:tc>
        <w:tc>
          <w:tcPr>
            <w:tcW w:w="100" w:type="dxa"/>
            <w:vAlign w:val="bottom"/>
            <w:shd w:val="clear" w:color="auto" w:fill="CFF0FC"/>
          </w:tcPr>
          <w:p>
            <w:pPr>
              <w:spacing w:after="0"/>
              <w:rPr>
                <w:sz w:val="20"/>
                <w:szCs w:val="20"/>
                <w:color w:val="auto"/>
              </w:rPr>
            </w:pPr>
          </w:p>
        </w:tc>
      </w:tr>
      <w:tr>
        <w:trPr>
          <w:trHeight w:val="226"/>
        </w:trPr>
        <w:tc>
          <w:tcPr>
            <w:tcW w:w="6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(6,198 )</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3,491</w:t>
            </w:r>
          </w:p>
        </w:tc>
        <w:tc>
          <w:tcPr>
            <w:tcW w:w="100" w:type="dxa"/>
            <w:vAlign w:val="bottom"/>
          </w:tcPr>
          <w:p>
            <w:pPr>
              <w:spacing w:after="0"/>
              <w:rPr>
                <w:sz w:val="19"/>
                <w:szCs w:val="19"/>
                <w:color w:val="auto"/>
              </w:rPr>
            </w:pPr>
          </w:p>
        </w:tc>
      </w:tr>
      <w:tr>
        <w:trPr>
          <w:trHeight w:val="226"/>
        </w:trPr>
        <w:tc>
          <w:tcPr>
            <w:tcW w:w="65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39,752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59,078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22"/>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 of held to maturity securities</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(673,370 )</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maturity of held to maturity securities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(31,793 )</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(30,878 )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(6,098 )</w:t>
            </w:r>
          </w:p>
        </w:tc>
      </w:tr>
      <w:tr>
        <w:trPr>
          <w:trHeight w:val="228"/>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intangibles</w:t>
            </w: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(3,856 )</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(2,910 )</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(1,695 )</w:t>
            </w:r>
          </w:p>
        </w:tc>
      </w:tr>
      <w:tr>
        <w:trPr>
          <w:trHeight w:val="223"/>
        </w:trPr>
        <w:tc>
          <w:tcPr>
            <w:tcW w:w="65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(560,088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(33,788</w:t>
            </w:r>
          </w:p>
        </w:tc>
        <w:tc>
          <w:tcPr>
            <w:tcW w:w="24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2"/>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Tax withholding paid on behalf of employees for net share settlement</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(37,552 )</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(3,493 )</w:t>
            </w:r>
          </w:p>
        </w:tc>
      </w:tr>
      <w:tr>
        <w:trPr>
          <w:trHeight w:val="226"/>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public offering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461,264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48,800</w:t>
            </w:r>
          </w:p>
        </w:tc>
        <w:tc>
          <w:tcPr>
            <w:tcW w:w="100" w:type="dxa"/>
            <w:vAlign w:val="bottom"/>
          </w:tcPr>
          <w:p>
            <w:pPr>
              <w:spacing w:after="0"/>
              <w:rPr>
                <w:sz w:val="19"/>
                <w:szCs w:val="19"/>
                <w:color w:val="auto"/>
              </w:rPr>
            </w:pPr>
          </w:p>
        </w:tc>
      </w:tr>
      <w:tr>
        <w:trPr>
          <w:trHeight w:val="23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Payments for offering costs</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(947 )</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(618 )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(3,011 )</w:t>
            </w:r>
          </w:p>
        </w:tc>
      </w:tr>
      <w:tr>
        <w:trPr>
          <w:trHeight w:val="226"/>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loans from financial institutions</w:t>
            </w:r>
          </w:p>
        </w:tc>
        <w:tc>
          <w:tcPr>
            <w:tcW w:w="3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100" w:type="dxa"/>
            <w:vAlign w:val="bottom"/>
          </w:tcPr>
          <w:p>
            <w:pPr>
              <w:spacing w:after="0"/>
              <w:rPr>
                <w:sz w:val="19"/>
                <w:szCs w:val="19"/>
                <w:color w:val="auto"/>
              </w:rPr>
            </w:pPr>
          </w:p>
        </w:tc>
      </w:tr>
      <w:tr>
        <w:trPr>
          <w:trHeight w:val="232"/>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Principal payments on loans to financial institutions</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(76,000 )</w:t>
            </w:r>
          </w:p>
        </w:tc>
      </w:tr>
      <w:tr>
        <w:trPr>
          <w:trHeight w:val="20"/>
        </w:trPr>
        <w:tc>
          <w:tcPr>
            <w:tcW w:w="65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5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(4,522 )</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460,646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100" w:type="dxa"/>
            <w:vAlign w:val="bottom"/>
          </w:tcPr>
          <w:p>
            <w:pPr>
              <w:spacing w:after="0"/>
              <w:rPr>
                <w:sz w:val="19"/>
                <w:szCs w:val="19"/>
                <w:color w:val="auto"/>
              </w:rPr>
            </w:pPr>
          </w:p>
        </w:tc>
      </w:tr>
      <w:tr>
        <w:trPr>
          <w:trHeight w:val="224"/>
        </w:trPr>
        <w:tc>
          <w:tcPr>
            <w:tcW w:w="65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(524,858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485,936</w:t>
            </w:r>
          </w:p>
        </w:tc>
        <w:tc>
          <w:tcPr>
            <w:tcW w:w="2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10,107</w:t>
            </w:r>
          </w:p>
        </w:tc>
        <w:tc>
          <w:tcPr>
            <w:tcW w:w="100" w:type="dxa"/>
            <w:vAlign w:val="bottom"/>
            <w:shd w:val="clear" w:color="auto" w:fill="CFF0FC"/>
          </w:tcPr>
          <w:p>
            <w:pPr>
              <w:spacing w:after="0"/>
              <w:rPr>
                <w:sz w:val="19"/>
                <w:szCs w:val="19"/>
                <w:color w:val="auto"/>
              </w:rPr>
            </w:pPr>
          </w:p>
        </w:tc>
      </w:tr>
      <w:tr>
        <w:trPr>
          <w:trHeight w:val="228"/>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Beginning of period</w:t>
            </w: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559,461</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73,525</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63,418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End of period</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34,603</w:t>
            </w:r>
          </w:p>
        </w:tc>
        <w:tc>
          <w:tcPr>
            <w:tcW w:w="1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559,461</w:t>
            </w:r>
          </w:p>
        </w:tc>
        <w:tc>
          <w:tcPr>
            <w:tcW w:w="24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73,525</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paid during the period</w:t>
            </w:r>
          </w:p>
        </w:tc>
        <w:tc>
          <w:tcPr>
            <w:tcW w:w="3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00" w:type="dxa"/>
            <w:vAlign w:val="bottom"/>
          </w:tcPr>
          <w:p>
            <w:pPr>
              <w:spacing w:after="0"/>
              <w:rPr>
                <w:sz w:val="19"/>
                <w:szCs w:val="19"/>
                <w:color w:val="auto"/>
              </w:rPr>
            </w:pPr>
          </w:p>
        </w:tc>
      </w:tr>
      <w:tr>
        <w:trPr>
          <w:trHeight w:val="23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Income taxes paid</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0"/>
                <w:szCs w:val="20"/>
                <w:color w:val="auto"/>
              </w:rPr>
            </w:pPr>
          </w:p>
        </w:tc>
      </w:tr>
      <w:tr>
        <w:trPr>
          <w:trHeight w:val="228"/>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flow information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Unpaid property and equipment</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shd w:val="clear" w:color="auto" w:fill="CFF0FC"/>
          </w:tcPr>
          <w:p>
            <w:pPr>
              <w:spacing w:after="0"/>
              <w:rPr>
                <w:sz w:val="20"/>
                <w:szCs w:val="20"/>
                <w:color w:val="auto"/>
              </w:rPr>
            </w:pPr>
          </w:p>
        </w:tc>
      </w:tr>
      <w:tr>
        <w:trPr>
          <w:trHeight w:val="226"/>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Unpaid intangibles,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Right-of-use assets acquired under operating leases</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4,761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-3740785</wp:posOffset>
            </wp:positionV>
            <wp:extent cx="7145020" cy="3213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5020" cy="32131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-2682240</wp:posOffset>
            </wp:positionV>
            <wp:extent cx="7683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-2682240</wp:posOffset>
            </wp:positionV>
            <wp:extent cx="6858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-1799590</wp:posOffset>
            </wp:positionV>
            <wp:extent cx="76835"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-1799590</wp:posOffset>
            </wp:positionV>
            <wp:extent cx="6858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-1199515</wp:posOffset>
            </wp:positionV>
            <wp:extent cx="76835"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-1199515</wp:posOffset>
            </wp:positionV>
            <wp:extent cx="68580"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80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SiTime Corporation (the “Company”) was incorporated in the State of Delaware in December 2003. The Company is a leading provider of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Outbreak of Coronavirus Disease 2019 (“the COVID-19 pandemic”)</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COVID-19 pandemic continued to impact the Company's workforce and the operations of its customers and suppliers during 2022. In response to the COVID-19 pandemic and related government measures, the Company implemented safety measures to protect its employees and contractors at its locations around the world.</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effects of the ongoing COVID-19 pandemic on our business are evolving and difficult to predict. The ultimate impact of the COVID-19 pandemic on our business, results of operations, and financial condition continues to depend on future developments which are not within our control and cannot be accurately predicted and are uncertain, including the duration, scope and severity of the pandemic, any additional resurgences, variants and the severity of variants, and the ability to effectively and widely manufacture and distribute vaccines.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Calendar</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begins on January 1 of the year stated and ends on December 31 of the same year. The Company reports its results on a calendar year basis.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The significant areas requiring the use of management estimates and assumptions include revenue recognition, non-recurring engineering services, estimate of reserve for excess and obsolete inventories, sales reserves, internally developed software capitalization, and valuation allowances for deferred tax assets.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Remeasurement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and its wholly-owned subsidiaries use the U.S. dollar as the functional currency. Foreign currency assets and liabilities are remeasured into U.S. dollars at the end-of-period exchange rates except for non-monetary assets and liabilities, which are measured at historical exchange rates. Revenue and expenses are remeasured using an average exchange rate in effect for the period, except for items related to non-monetary assets and liabilities, which are measured at historical exchange rates. Gains or losses from foreign currency remeasurement and transactions are included in other expense, net. For the years ended December 31, 2022, 2021, and 2020, foreign currency remeasurement and transactions gains and losses resulting in a net charge of $0.1 million, $0.5 million, and $0.1 million,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balances in the Company’s bank checking and savings accounts and liquid short-term investments with original or remaining maturities of 90 days or less at the date of purchase, readily convertible to known amounts of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accounts receivable, accounts payable, accrued liabilities, and other current liabilities, approximate their fair values due to their short maturities. 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w:t>
      </w:r>
    </w:p>
    <w:p>
      <w:pPr>
        <w:spacing w:after="0" w:line="187" w:lineRule="exact"/>
        <w:rPr>
          <w:sz w:val="20"/>
          <w:szCs w:val="20"/>
          <w:color w:val="auto"/>
        </w:rPr>
      </w:pPr>
    </w:p>
    <w:p>
      <w:pPr>
        <w:ind w:right="260" w:firstLine="509"/>
        <w:spacing w:after="0" w:line="312" w:lineRule="auto"/>
        <w:rPr>
          <w:sz w:val="20"/>
          <w:szCs w:val="20"/>
          <w:color w:val="auto"/>
        </w:rPr>
      </w:pPr>
      <w:r>
        <w:rPr>
          <w:rFonts w:ascii="Times New Roman" w:cs="Times New Roman" w:eastAsia="Times New Roman" w:hAnsi="Times New Roman"/>
          <w:sz w:val="17"/>
          <w:szCs w:val="17"/>
          <w:color w:val="auto"/>
        </w:rPr>
        <w:t>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32"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Valuations based on quoted prices in active markets for identical assets or liabilities that the entity has the ability to access.</w:t>
      </w:r>
    </w:p>
    <w:p>
      <w:pPr>
        <w:spacing w:after="0" w:line="117" w:lineRule="exact"/>
        <w:rPr>
          <w:sz w:val="20"/>
          <w:szCs w:val="20"/>
          <w:color w:val="auto"/>
        </w:rPr>
      </w:pPr>
    </w:p>
    <w:p>
      <w:pPr>
        <w:ind w:left="520" w:right="400"/>
        <w:spacing w:after="0" w:line="282" w:lineRule="auto"/>
        <w:rPr>
          <w:sz w:val="20"/>
          <w:szCs w:val="20"/>
          <w:color w:val="auto"/>
        </w:rPr>
      </w:pPr>
      <w:r>
        <w:rPr>
          <w:rFonts w:ascii="Times New Roman" w:cs="Times New Roman" w:eastAsia="Times New Roman" w:hAnsi="Times New Roman"/>
          <w:sz w:val="18"/>
          <w:szCs w:val="18"/>
          <w:color w:val="auto"/>
        </w:rPr>
        <w:t>Level 2: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54" w:lineRule="exact"/>
        <w:rPr>
          <w:sz w:val="20"/>
          <w:szCs w:val="20"/>
          <w:color w:val="auto"/>
        </w:rPr>
      </w:pPr>
    </w:p>
    <w:p>
      <w:pPr>
        <w:ind w:left="520" w:right="540"/>
        <w:spacing w:after="0" w:line="282" w:lineRule="auto"/>
        <w:rPr>
          <w:sz w:val="20"/>
          <w:szCs w:val="20"/>
          <w:color w:val="auto"/>
        </w:rPr>
      </w:pPr>
      <w:r>
        <w:rPr>
          <w:rFonts w:ascii="Times New Roman" w:cs="Times New Roman" w:eastAsia="Times New Roman" w:hAnsi="Times New Roman"/>
          <w:sz w:val="18"/>
          <w:szCs w:val="18"/>
          <w:color w:val="auto"/>
        </w:rPr>
        <w:t>Level 3: Valuations based on inputs that are supported by little or no market activity and that are significant to the fair value of the assets or liabilities.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200" w:firstLine="509"/>
        <w:spacing w:after="0" w:line="289" w:lineRule="auto"/>
        <w:rPr>
          <w:sz w:val="20"/>
          <w:szCs w:val="20"/>
          <w:color w:val="auto"/>
        </w:rPr>
      </w:pPr>
      <w:r>
        <w:rPr>
          <w:rFonts w:ascii="Times New Roman" w:cs="Times New Roman" w:eastAsia="Times New Roman" w:hAnsi="Times New Roman"/>
          <w:sz w:val="17"/>
          <w:szCs w:val="17"/>
          <w:color w:val="auto"/>
        </w:rPr>
        <w:t>At December 31, 2022 and 2021, cash balances in bank checking and savings accounts of $31.6 million and $339.3 million, were valued using Level 1 of the fair value hierarchy. At December 31, 2022 and 2021, highly liquid money market funds of $3.0 million and $220.2 million, respectively, were valued using Level 1, of the fair value hierarchy, quoted prices in active markets for identical assets and are included in cash equivalents.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 in held-to-maturity securities</w:t>
      </w:r>
    </w:p>
    <w:p>
      <w:pPr>
        <w:spacing w:after="0" w:line="22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entered into treasury bills with maturities ranging from 3 to 6 months, which the Company intends to hold until maturity and has classified as held-to-maturity securities. The held-to-maturity securities are recorded at amortized cost totaling $524.4 million with gross unrealized gains of $5.1 million and net carrying value of $529.5 million. The carrying value of our investments is reviewed quarterly for changes in circumstances or the occurrence of events that suggests an investment may not be fully recoverable. These treasury bills were valued using Level 1 of the fair value hierarchy, quoted prices in active markets for identical assets, and are included in short-term investments.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Level 1 and Level 2 categories during any of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Allowances for Credit Losses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are stated at amounts estimated by management to be net realizable value. An allowance for credit losses is recorded when it is probable that amounts will not be collected based on historical collection trends, age of outstanding receivables, specific customer circumstances, existing economic conditions and future forecasted information. The Company performs periodic credit evaluations of its customers’ financial condition and generally requires no collateral from its customers. Losses have not been significant in any of the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short-term investments and accounts receivable. The Company’s cash and cash equivalents amount is subject to concentration of credit risk. Substantially all of the Company's cash and cash equivalents balances are in excess of Federal Deposit Insurance Corporation insurance limits with financial institutions.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extends credit based on an evaluation of the customer’s financial condition and collateral is not typically required. The Company primarily sells its products through third-party distributors. For the years ended December 31, 2022, 2021, and 2020, three distributors directly accounted for 10% or more of the Company’s revenue.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discloses these customers’ percentage of revenue for the respective periods: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740" w:type="dxa"/>
            <w:vAlign w:val="bottom"/>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360" w:type="dxa"/>
            <w:vAlign w:val="bottom"/>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7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r>
      <w:tr>
        <w:trPr>
          <w:trHeight w:val="23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Pernas Electronics Co. Ltd.</w:t>
            </w:r>
          </w:p>
        </w:tc>
        <w:tc>
          <w:tcPr>
            <w:tcW w:w="74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6"/>
              </w:rPr>
              <w:t>20%</w:t>
            </w:r>
          </w:p>
        </w:tc>
        <w:tc>
          <w:tcPr>
            <w:tcW w:w="136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center"/>
              <w:ind w:right="195"/>
              <w:spacing w:after="0"/>
              <w:rPr>
                <w:sz w:val="20"/>
                <w:szCs w:val="20"/>
                <w:color w:val="auto"/>
              </w:rPr>
            </w:pPr>
            <w:r>
              <w:rPr>
                <w:rFonts w:ascii="Times New Roman" w:cs="Times New Roman" w:eastAsia="Times New Roman" w:hAnsi="Times New Roman"/>
                <w:sz w:val="18"/>
                <w:szCs w:val="18"/>
                <w:color w:val="auto"/>
              </w:rPr>
              <w:t>26%</w:t>
            </w:r>
          </w:p>
        </w:tc>
      </w:tr>
      <w:tr>
        <w:trPr>
          <w:trHeight w:val="247"/>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Arrow Electronics, Inc.</w:t>
            </w:r>
          </w:p>
        </w:tc>
        <w:tc>
          <w:tcPr>
            <w:tcW w:w="740" w:type="dxa"/>
            <w:vAlign w:val="bottom"/>
            <w:shd w:val="clear" w:color="auto" w:fill="CFF0FC"/>
          </w:tcPr>
          <w:p>
            <w:pPr>
              <w:jc w:val="center"/>
              <w:ind w:left="175"/>
              <w:spacing w:after="0"/>
              <w:rPr>
                <w:sz w:val="20"/>
                <w:szCs w:val="20"/>
                <w:color w:val="auto"/>
              </w:rPr>
            </w:pPr>
            <w:r>
              <w:rPr>
                <w:rFonts w:ascii="Times New Roman" w:cs="Times New Roman" w:eastAsia="Times New Roman" w:hAnsi="Times New Roman"/>
                <w:sz w:val="18"/>
                <w:szCs w:val="18"/>
                <w:color w:val="auto"/>
                <w:w w:val="96"/>
              </w:rPr>
              <w:t>17%</w:t>
            </w:r>
          </w:p>
        </w:tc>
        <w:tc>
          <w:tcPr>
            <w:tcW w:w="1360" w:type="dxa"/>
            <w:vAlign w:val="bottom"/>
            <w:gridSpan w:val="3"/>
            <w:shd w:val="clear" w:color="auto" w:fill="CFF0FC"/>
          </w:tcPr>
          <w:p>
            <w:pPr>
              <w:jc w:val="center"/>
              <w:ind w:left="297"/>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jc w:val="center"/>
              <w:ind w:right="195"/>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Quantek Technology Corporation</w:t>
            </w:r>
          </w:p>
        </w:tc>
        <w:tc>
          <w:tcPr>
            <w:tcW w:w="74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6"/>
              </w:rPr>
              <w:t>12%</w:t>
            </w:r>
          </w:p>
        </w:tc>
        <w:tc>
          <w:tcPr>
            <w:tcW w:w="136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center"/>
              <w:ind w:right="195"/>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Revenue from sales to one end customer through multiple distributors accounted for 20%, 22% and 40% of consolidated revenues for the years ended December 31, 2022, 2021, and 2020, respectively. No other distributors or end customers accounted for 10% or more of the Company's consolidated revenues for the years ended December 31, 2022, 2021, and 2020.</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3" w:right="419" w:bottom="1440" w:gutter="0" w:footer="0" w:header="0"/>
        </w:sectPr>
      </w:pPr>
    </w:p>
    <w:bookmarkStart w:id="63" w:name="page64"/>
    <w:bookmarkEnd w:id="63"/>
    <w:p>
      <w:pPr>
        <w:ind w:left="520"/>
        <w:spacing w:after="0"/>
        <w:rPr>
          <w:sz w:val="20"/>
          <w:szCs w:val="20"/>
          <w:color w:val="auto"/>
        </w:rPr>
      </w:pPr>
      <w:r>
        <w:rPr>
          <w:rFonts w:ascii="Times New Roman" w:cs="Times New Roman" w:eastAsia="Times New Roman" w:hAnsi="Times New Roman"/>
          <w:sz w:val="18"/>
          <w:szCs w:val="18"/>
          <w:color w:val="auto"/>
        </w:rPr>
        <w:t>At December 31, 2022 and 2021 these customers accounted for 10% or more of accounts receivable:</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69"/>
        </w:trPr>
        <w:tc>
          <w:tcPr>
            <w:tcW w:w="54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1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Pernas Electronics Co. Ltd.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rPr>
              <w:t>16%</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Quantek Technology Corporation</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8"/>
                <w:szCs w:val="18"/>
                <w:color w:val="auto"/>
              </w:rPr>
              <w:t>13%</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Arrow Electronics, Inc.</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rPr>
              <w:t>14%</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Smith &amp; Associates</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3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8"/>
                <w:szCs w:val="18"/>
                <w:color w:val="auto"/>
                <w:w w:val="96"/>
              </w:rPr>
              <w:t>11%</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standard cost (which approximates actual cost on a first-in, first-out basis) or net realizable value. The Company, at least quarterly, assesses the recoverability of all inventories to determine whether adjustments are required to record inventory at the lower of cost or net realizable value. The Company reduces the value of inventory by establishing excess and obsolete inventories reserves based on management’s assessment of future demand and market conditions. Actual demand may differ from forecasted demand and such differences may have a material effect on recorded value of inventory. Inventory reserve write-downs, once established, are not released until the related inventory has been sold or scrapped. Rebates from the Company’s foundries are recorded as a reduction of inventory cost and are recognized in cost of revenue over the inventory turnover days of the Company. Most of the Company’s inventory is warehoused at its contract manufacturers.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of property and equipment is recognized on a straight-line basis over the estimated useful lives of the respective assets as follows:</w:t>
      </w:r>
    </w:p>
    <w:p>
      <w:pPr>
        <w:sectPr>
          <w:pgSz w:w="11900" w:h="16838" w:orient="portrait"/>
          <w:cols w:equalWidth="0" w:num="1">
            <w:col w:w="11200"/>
          </w:cols>
          <w:pgMar w:left="320" w:top="378" w:right="379" w:bottom="1440" w:gutter="0" w:footer="0" w:header="0"/>
        </w:sectPr>
      </w:pP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Lab and manufacturing equipment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to 7 years</w:t>
      </w:r>
    </w:p>
    <w:p>
      <w:pPr>
        <w:spacing w:after="0" w:line="48" w:lineRule="exact"/>
        <w:rPr>
          <w:sz w:val="20"/>
          <w:szCs w:val="20"/>
          <w:color w:val="auto"/>
        </w:rPr>
      </w:pPr>
    </w:p>
    <w:p>
      <w:pPr>
        <w:sectPr>
          <w:pgSz w:w="11900" w:h="16838" w:orient="portrait"/>
          <w:cols w:equalWidth="0" w:num="2">
            <w:col w:w="4760" w:space="720"/>
            <w:col w:w="5720"/>
          </w:cols>
          <w:pgMar w:left="320" w:top="3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Computer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36" w:lineRule="exact"/>
        <w:rPr>
          <w:sz w:val="20"/>
          <w:szCs w:val="20"/>
          <w:color w:val="auto"/>
        </w:rPr>
      </w:pPr>
    </w:p>
    <w:p>
      <w:pPr>
        <w:sectPr>
          <w:pgSz w:w="11900" w:h="16838" w:orient="portrait"/>
          <w:cols w:equalWidth="0" w:num="2">
            <w:col w:w="4760" w:space="720"/>
            <w:col w:w="5720"/>
          </w:cols>
          <w:pgMar w:left="320" w:top="3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36" w:lineRule="exact"/>
        <w:rPr>
          <w:sz w:val="20"/>
          <w:szCs w:val="20"/>
          <w:color w:val="auto"/>
        </w:rPr>
      </w:pPr>
    </w:p>
    <w:p>
      <w:pPr>
        <w:sectPr>
          <w:pgSz w:w="11900" w:h="16838" w:orient="portrait"/>
          <w:cols w:equalWidth="0" w:num="2">
            <w:col w:w="4760" w:space="720"/>
            <w:col w:w="5720"/>
          </w:cols>
          <w:pgMar w:left="320" w:top="3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Shorter of remaining lease term or estimated useful lives of the assets</w:t>
      </w:r>
    </w:p>
    <w:p>
      <w:pPr>
        <w:spacing w:after="0" w:line="211" w:lineRule="exact"/>
        <w:rPr>
          <w:sz w:val="20"/>
          <w:szCs w:val="20"/>
          <w:color w:val="auto"/>
        </w:rPr>
      </w:pPr>
    </w:p>
    <w:p>
      <w:pPr>
        <w:sectPr>
          <w:pgSz w:w="11900" w:h="16838" w:orient="portrait"/>
          <w:cols w:equalWidth="0" w:num="2">
            <w:col w:w="4760" w:space="720"/>
            <w:col w:w="5720"/>
          </w:cols>
          <w:pgMar w:left="320" w:top="378" w:right="379" w:bottom="1440" w:gutter="0" w:footer="0" w:header="0"/>
          <w:type w:val="continuous"/>
        </w:sectPr>
      </w:pPr>
    </w:p>
    <w:p>
      <w:pPr>
        <w:spacing w:after="0" w:line="28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capitalizes the costs of purchased mask sets that are utilized during the photolithography phase of manufacturing our products, when technological feasibility and marketability have been established. The capitalization occurs upon the completion of a detailed design, the absence of significant development uncertainties and the determination of market acceptance. Such amounts are included in property and equipment in the consolidated balance sheets and are amortized to cost of revenue over their estimated useful life of 5 to 7 years. However, if significant uncertainties exist regarding the future utility of a particular mask set, then its related costs are expensed to research and development at the time the significant uncertainties are identified.</w:t>
      </w:r>
    </w:p>
    <w:p>
      <w:pPr>
        <w:spacing w:after="0" w:line="18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Maintenance and repair costs are charged to expense as incurred, and expenditures that extend the useful lives of assets are capitalized. Upon retirement or sale of the property and equipment, the cost and related accumulated depreciation are removed from the balance sheet and the resulting gain or loss is recorded in operating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Intangible assets include the costs related to acquired software as well as costs related to software internally developed, or modified solely to meet the Company’s internal requirements, with no substantive plans to market such software at the time of development. The Company develops proprietary design automation software for its MEMS-based resonators. Costs incurred during the preliminary planning and evaluation stage of the project and during post implementation operational stage are expensed as incurred. Costs incurred during the application development stage of the software are capitalized. The Company defines the configuration and coding process as the application development stage. Capitalized internal use software costs are amortized, on a straight-line basis under cost of revenue over the estimated useful life of approximately 2 to 3 years. Purchased intangibles with finite lives are amortized using the straight-line method over the estimated economic lives of the assets of 3 to 5 years.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Company applies the guidance in Accounting Standards Codification (“ASC”), Topic 842 to individual leases of assets. The Company recognizes a transaction as a lease when it receives substantially all of the economic benefits from and directs the use of specified property, plant and equipment.</w:t>
      </w:r>
    </w:p>
    <w:p>
      <w:pPr>
        <w:spacing w:after="0" w:line="176" w:lineRule="exact"/>
        <w:rPr>
          <w:sz w:val="20"/>
          <w:szCs w:val="20"/>
          <w:color w:val="auto"/>
        </w:rPr>
      </w:pPr>
    </w:p>
    <w:p>
      <w:pPr>
        <w:ind w:right="180" w:firstLine="509"/>
        <w:spacing w:after="0" w:line="289" w:lineRule="auto"/>
        <w:rPr>
          <w:sz w:val="20"/>
          <w:szCs w:val="20"/>
          <w:color w:val="auto"/>
        </w:rPr>
      </w:pPr>
      <w:r>
        <w:rPr>
          <w:rFonts w:ascii="Times New Roman" w:cs="Times New Roman" w:eastAsia="Times New Roman" w:hAnsi="Times New Roman"/>
          <w:sz w:val="17"/>
          <w:szCs w:val="17"/>
          <w:color w:val="auto"/>
        </w:rPr>
        <w:t>Operating leases are included in right-of-use (“ROU”), assets, accrued expenses and other current liabilities, and lease liabilities in the Company’s consolidated balance sheets. ROU assets represent the Company’s right to use an underlying asset for the lease term and lease liabilities represent the present value of the Company’s obligation to make lease payments arising from the lease. The Company currently does not have any finance leases.</w:t>
      </w:r>
    </w:p>
    <w:p>
      <w:pPr>
        <w:spacing w:after="0" w:line="158"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has elected the practical expedient within ASC Topic 842 to not separate lease and non-lease components within lease transactions for all classes of assets. Additionally, the Company has elected the short-term lease exception for all classes of assets and does not apply the recognition requirements for leases of 12 months or less and recognizes lease payments for short-term leases as expense either straight-line over the lease term or as incurred depending on whether the lease payments are fixed or variable. These elections are applied consistently for all leases.</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When discount rates implicit in leases cannot be readily determined, the Company uses the applicable incremental borrowing rate at lease commencement to perform lease classification tests on lease components and to measure ROU assets and lease liabilities. The incremental borrowing rate used by the Company was based on the rate of interest that the Company would have to pay to borrow on a collateralized basis over a similar term, an amount equal to the lease payments in a similar economic environment.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estimated fair value of the assets.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determined that no events or changes in circumstances indicate that impairment of its long-lived assets has occurred.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provides limited lifetime warranty coverage on all of its products by guaranteeing that all timing components from the Company will be free from defects in workmanship and materials and will conform to specifications for the life of the system. This assurance-type warranty is not considered a separate performance obligation, and thus no transaction price is allocated to it. The Company records the warranty costs in cost of revenue in the consolidated statements of operations and comprehensive income (loss). The warranty reserve is calculated using historical claim information to project future warranty claims activity and is recorded within accrued expenses and other current liabilities and other non-current liabilities on the consolidated balance sheets based on the expected timing of the related payments. To date, the Company has had negligible returns of any defective products, and hence the warranty reserve balances as of December 31, 2022 and 2021 were less than $0.1 million.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carrying amounts in the consolidated financial statements of existing assets and liabilities and their respective tax bases and operating loss and tax credit carryforwards, using enacted tax rates in effect for the year in which the differences are expected to be recovered or settled. The effect on deferred tax assets and liabilities of a change in tax rates is recognized in earnings in the period that includes the enactment date. A valuation allowance is provided in order to reduce the deferred tax assets to a level which, more likely than not, will be realized.</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Tax Cuts and Jobs Act of 2017 (the “Tax Act”) and The Coronavirus Aid, Relief, and Economic Security (“CARES Act”) , make broad and complex changes to the U.S. tax code. These computations require significant judgments and estimates to be made regarding the interpretation of the provisions within the Tax Act along with the preparation and analysis of information not previously required.</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While the Company believes it has adequately reserved for its uncertain tax positions, no assurance can be given that the final tax outcome of these matters will not be different. The Company adjusts these reserves in light of changing facts and circumstances, such as the closing of a tax audit. To the extent that the final tax outcome of these matters is different than the amounts recorded, such differences will impact the provision for income taxes and the effective tax rate in the period in which such determination is made.</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tax positions in the consolidated financial statements only when it is more likely than not that the position will be sustained upon examination by the relevant taxing authority. Liabilities are established for differences between positions taken in a tax return and amounts recognized in the consolidated financial statements. The Company reports interest and penalties related to uncertain tax positions, if any, in the provision for income taxes in the consolidated statements of operations and comprehensive income (loss). To the extent that accrued interest and penalties do not ultimately become payable, amounts accrued will be reduced and reflected as a reduction of the overall provision for income taxes in the period that such determination is made.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color w:val="auto"/>
        </w:rPr>
        <w:t>The Company derives revenue from its product sales to distributors, who in turn sell to original equipment manufacturers or other end customers. The Company recognizes product revenue, at a point in time, upon shipment when it satisfies its performance obligations as evidenced by the transfer of control of its products to customers. The Company measures revenue based on the amount of consideration it expects to be entitled to in exchange for products. Variable consideration is estimated and reflected as an adjustment to the transaction price. Depending on the terms of the contract, variable consideration is estimated using either the expected value approach or the most likely value approach. The Company determines variable consideration, which consists primarily of price adjustments and product returns by estimating the amount of consideration the Company expects to receive from its customers based on historical experience of price adjustments and product returns. Initial estimates of price adjustments and product returns are updated at the end of each reporting period if additional information becomes available. Changes to the Company’s estimated variable consideration were not material for the periods presented. Since the Company’s performance obligations relate to contracts with a duration of less than one year, it does not disclose the aggregate amount of the transaction price allocated to performance obligations that are unsatisfied or partially unsatisfied at the end of the reporting period.</w:t>
      </w:r>
    </w:p>
    <w:p>
      <w:pPr>
        <w:spacing w:after="0" w:line="177" w:lineRule="exact"/>
        <w:rPr>
          <w:sz w:val="20"/>
          <w:szCs w:val="20"/>
          <w:color w:val="auto"/>
        </w:rPr>
      </w:pPr>
    </w:p>
    <w:p>
      <w:pPr>
        <w:ind w:right="260" w:firstLine="509"/>
        <w:spacing w:after="0" w:line="312" w:lineRule="auto"/>
        <w:rPr>
          <w:sz w:val="20"/>
          <w:szCs w:val="20"/>
          <w:color w:val="auto"/>
        </w:rPr>
      </w:pPr>
      <w:r>
        <w:rPr>
          <w:rFonts w:ascii="Times New Roman" w:cs="Times New Roman" w:eastAsia="Times New Roman" w:hAnsi="Times New Roman"/>
          <w:sz w:val="17"/>
          <w:szCs w:val="17"/>
          <w:color w:val="auto"/>
        </w:rPr>
        <w:t>The Company’s payment terms vary by contract type and type of customer and generally range from 30 to 60 days from shipment. The Company has also elected to recognize the cost for freight and shipping when control over the products sold passes to customers and revenue is recognized.</w:t>
      </w:r>
    </w:p>
    <w:p>
      <w:pPr>
        <w:spacing w:after="0" w:line="14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practical expedient, the Company records the incremental costs of obtaining a contract, consisting primarily of sales commissions, when incurred because the amortization period is one year or less. These costs are recorded within sales and marketing expenses. The Company had a distribution agreement with MegaChips, whereby the Company appointed MegaChips as the exclusive distributor of its products in Japan. The Company recognized revenue upon shipment derived from sales of products through MegaChips in the amount of expected payments from parties which purchased the products as adjusted for estimated price concessions and product returns. In connection with the Company's efforts to contract directly with distributors in Japan, the Company and MegaChips mutually terminated the Distribution Agreement effective November 3, 2021.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Cost of revenue consists of wafers acquired from third-party foundries, assembly, packaging, and test cost of the Company’s products paid to third-party contract manufacturers, and personnel and other costs associated with the manufacturing operations of the Company. Cost of revenue also includes depreciation of production equipment, inventory write-downs, amortization of internally developed software, shipping and handling costs, and allocation of overhead and facility costs. The Company also includes credits for rebates received from foundries in cost of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costs consist primarily of personnel cost, material cost, and facilities related expenses, incurred in the course of planned research and development of new products. Research and development costs are expensed as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engineering services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has certain contracts to provide non-recurring engineering (NRE) services for research and development arrangements through 2023, which do not meet the requirement to be accounted for under ASC 606, Revenue from Contracts with Customers. The Company recognizes the payments received under these NRE arrangements as liabilities and recognizes them as an offset to research and development expense as the company achieve the milestones of the contract. As the progress towards completion occurs, the Company uses an input method based on the ratio of costs incurred to date to total estimated costs of the project. Significant judgment is required to estimate the remaining effort to complete the project. These estimates are reassessed throughout the term of the arrangement. A liability of $2.7 million and $0.2 million was recorded as accrued expenses and other current liabilities, and other non-current liabilities, respectively, in the consolidated balance sheet as of December 31, 2022. A liability of $5.7 million and $0.5 million was recorded as accrued expenses and other current liabilities, and other non-current liabilities, respectively, in the consolidated balance sheet as of December 31, 2021. For the years ended December 31, 2022 and 2021, the Company recorded $9.0 million and $2.4 million, respectively as a reduction of research and development expenses in the consolidated statement of operations. There was no reduction of research and development expense recorded during the year ended December 31, 2020.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 costs, field application engineering support, travel costs, professional and consulting fees, accounting and audit fees, legal, advertising expenses, and allocated overhead costs. Selling, general and administrative costs are expensed as incurred. Advertising expenses were $2.3 million, $1.5 million and $0.3 million, for the years ended December 31, 2022, 2021, and 2020,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grants restricted stock units (“RSUs”) of its own common stock and such grants are valued at the fair market value of the Company’s stock on the date of the grant and recognizes the compensation expense using the straight-line method over the requisite service period.</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amortizes stock-based compensation expense for time-based awards under the straight-line attribution method over the vesting period. Stock-based compensation expense for performance-based awards is recognized when it becomes probable that the performance conditions will be met. The Company amortizes stock-based compensation expense for performance-based awards using the accelerated method. The Company recognizes the expense related to the multi-year performance based restricted stock unit awards ("MYPSU") on a graded-vesting method over the requisite service period.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recognizes forfeitures as they occur.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calculated by dividing the net income (loss) attributable to common stockholders by the weighted-average number of shares of common stock outstanding during the period, without consideration for potentially dilutive securities. Diluted net income (loss) per share is computed by dividing the net income (loss) attributable to common stockholders by the weighted-average number of shares of common stock and potentially dilutive securities outstanding for the period. Refer to "Note 3 - Net Income (Loss) Per Share" for further discussion regarding potentially dilutive and anti-dilutive securities.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no components of other comprehensive income loss. Therefore, net income (loss) equals comprehensive income (loss) for all periods presented.</w:t>
      </w:r>
    </w:p>
    <w:p>
      <w:pPr>
        <w:spacing w:after="0" w:line="266" w:lineRule="exact"/>
        <w:rPr>
          <w:sz w:val="20"/>
          <w:szCs w:val="20"/>
          <w:color w:val="auto"/>
        </w:rPr>
      </w:pPr>
    </w:p>
    <w:p>
      <w:pPr>
        <w:ind w:right="8140" w:firstLine="8"/>
        <w:spacing w:after="0" w:line="377" w:lineRule="auto"/>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Recently Adopted Accounting Guidance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new accounting pronouncements that are pending to be adopted by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share attributable to common stockholders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32,277</w:t>
            </w:r>
          </w:p>
        </w:tc>
        <w:tc>
          <w:tcPr>
            <w:tcW w:w="6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(9,372 )</w:t>
            </w:r>
          </w:p>
        </w:tc>
        <w:tc>
          <w:tcPr>
            <w:tcW w:w="0" w:type="dxa"/>
            <w:vAlign w:val="bottom"/>
          </w:tcPr>
          <w:p>
            <w:pPr>
              <w:spacing w:after="0"/>
              <w:rPr>
                <w:sz w:val="1"/>
                <w:szCs w:val="1"/>
                <w:color w:val="auto"/>
              </w:rPr>
            </w:pPr>
          </w:p>
        </w:tc>
      </w:tr>
      <w:tr>
        <w:trPr>
          <w:trHeight w:val="219"/>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net income per</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employee equity incentive plans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diluted net income (loss)</w:t>
            </w: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2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18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220" w:type="dxa"/>
            <w:vAlign w:val="bottom"/>
          </w:tcPr>
          <w:p>
            <w:pPr>
              <w:ind w:left="180"/>
              <w:spacing w:after="0" w:line="192" w:lineRule="exact"/>
              <w:rPr>
                <w:sz w:val="20"/>
                <w:szCs w:val="20"/>
                <w:color w:val="auto"/>
              </w:rPr>
            </w:pPr>
            <w:r>
              <w:rPr>
                <w:rFonts w:ascii="Times New Roman" w:cs="Times New Roman" w:eastAsia="Times New Roman" w:hAnsi="Times New Roman"/>
                <w:sz w:val="18"/>
                <w:szCs w:val="18"/>
                <w:color w:val="auto"/>
              </w:rPr>
              <w:t>Net income (loss) attributable to common stockholders per share,</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6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(0.58 )</w:t>
            </w:r>
          </w:p>
        </w:tc>
        <w:tc>
          <w:tcPr>
            <w:tcW w:w="0" w:type="dxa"/>
            <w:vAlign w:val="bottom"/>
          </w:tcPr>
          <w:p>
            <w:pPr>
              <w:spacing w:after="0"/>
              <w:rPr>
                <w:sz w:val="1"/>
                <w:szCs w:val="1"/>
                <w:color w:val="auto"/>
              </w:rPr>
            </w:pPr>
          </w:p>
        </w:tc>
      </w:tr>
      <w:tr>
        <w:trPr>
          <w:trHeight w:val="20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20" w:type="dxa"/>
            <w:vAlign w:val="bottom"/>
            <w:shd w:val="clear" w:color="auto" w:fill="CFF0FC"/>
          </w:tcPr>
          <w:p>
            <w:pPr>
              <w:ind w:left="180"/>
              <w:spacing w:after="0" w:line="192" w:lineRule="exact"/>
              <w:rPr>
                <w:sz w:val="20"/>
                <w:szCs w:val="20"/>
                <w:color w:val="auto"/>
              </w:rPr>
            </w:pPr>
            <w:r>
              <w:rPr>
                <w:rFonts w:ascii="Times New Roman" w:cs="Times New Roman" w:eastAsia="Times New Roman" w:hAnsi="Times New Roman"/>
                <w:sz w:val="18"/>
                <w:szCs w:val="18"/>
                <w:color w:val="auto"/>
              </w:rPr>
              <w:t>Net income (loss) attributable to common stockholders per share,</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vMerge w:val="restart"/>
            <w:shd w:val="clear" w:color="auto" w:fill="CFF0FC"/>
          </w:tcPr>
          <w:p>
            <w:pPr>
              <w:spacing w:after="0"/>
              <w:rPr>
                <w:sz w:val="16"/>
                <w:szCs w:val="16"/>
                <w:color w:val="auto"/>
              </w:rPr>
            </w:pP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vMerge w:val="restart"/>
            <w:shd w:val="clear" w:color="auto" w:fill="CFF0FC"/>
          </w:tcPr>
          <w:p>
            <w:pPr>
              <w:spacing w:after="0"/>
              <w:rPr>
                <w:sz w:val="16"/>
                <w:szCs w:val="16"/>
                <w:color w:val="auto"/>
              </w:rPr>
            </w:pPr>
          </w:p>
        </w:tc>
        <w:tc>
          <w:tcPr>
            <w:tcW w:w="480" w:type="dxa"/>
            <w:vAlign w:val="bottom"/>
            <w:vMerge w:val="restart"/>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(0.58 )</w:t>
            </w:r>
          </w:p>
        </w:tc>
        <w:tc>
          <w:tcPr>
            <w:tcW w:w="0" w:type="dxa"/>
            <w:vAlign w:val="bottom"/>
          </w:tcPr>
          <w:p>
            <w:pPr>
              <w:spacing w:after="0"/>
              <w:rPr>
                <w:sz w:val="1"/>
                <w:szCs w:val="1"/>
                <w:color w:val="auto"/>
              </w:rPr>
            </w:pPr>
          </w:p>
        </w:tc>
      </w:tr>
      <w:tr>
        <w:trPr>
          <w:trHeight w:val="22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74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480" w:type="dxa"/>
            <w:vAlign w:val="bottom"/>
            <w:vMerge w:val="continue"/>
            <w:shd w:val="clear" w:color="auto" w:fill="CFF0FC"/>
          </w:tcPr>
          <w:p>
            <w:pPr>
              <w:spacing w:after="0"/>
              <w:rPr>
                <w:sz w:val="19"/>
                <w:szCs w:val="19"/>
                <w:color w:val="auto"/>
              </w:rPr>
            </w:pPr>
          </w:p>
        </w:tc>
        <w:tc>
          <w:tcPr>
            <w:tcW w:w="7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-1508125</wp:posOffset>
            </wp:positionV>
            <wp:extent cx="1688465"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88465" cy="17970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-607695</wp:posOffset>
            </wp:positionV>
            <wp:extent cx="1688465" cy="316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88465" cy="31686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Potential dilutive securities include dilutive common shares from share-based awards attributable to the assumed exercise of vested restricted stock units using the treasury stock method. Under the treasury stock method, potential common shares outstanding are not included in the computation of diluted net income per share if their effect is anti-dilutive.</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year ended December 31, 2022, 2021, and 2020 the Company had 309,963, 3,955, and 2,095,135 potential shares from share-based awards that are anti-dilutive, respectively. Anti-dilutive potential shares from share-based awards are excluded from the calculation of diluted loss per share for the year ended December 31, 2020 due to the net losses reported in these periods.</w:t>
      </w:r>
    </w:p>
    <w:p>
      <w:pPr>
        <w:spacing w:after="0" w:line="112" w:lineRule="exact"/>
        <w:rPr>
          <w:sz w:val="20"/>
          <w:szCs w:val="20"/>
          <w:color w:val="auto"/>
        </w:rPr>
      </w:pPr>
    </w:p>
    <w:p>
      <w:pPr>
        <w:ind w:right="8900" w:firstLine="8"/>
        <w:spacing w:after="0" w:line="441" w:lineRule="auto"/>
        <w:tabs>
          <w:tab w:leader="none" w:pos="18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Sheets Components Accounts Receivable, net</w:t>
      </w:r>
    </w:p>
    <w:p>
      <w:pPr>
        <w:spacing w:after="0" w:line="1"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Accounts receivable, net consisted of the following: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109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6"/>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1700" w:type="dxa"/>
            <w:vAlign w:val="bottom"/>
          </w:tcPr>
          <w:p>
            <w:pPr>
              <w:spacing w:after="0"/>
              <w:rPr>
                <w:sz w:val="21"/>
                <w:szCs w:val="21"/>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38,426</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680" w:type="dxa"/>
            <w:vAlign w:val="bottom"/>
          </w:tcPr>
          <w:p>
            <w:pPr>
              <w:spacing w:after="0"/>
              <w:rPr>
                <w:sz w:val="20"/>
                <w:szCs w:val="20"/>
                <w:color w:val="auto"/>
              </w:rPr>
            </w:pPr>
          </w:p>
        </w:tc>
      </w:tr>
      <w:tr>
        <w:trPr>
          <w:trHeight w:val="281"/>
        </w:trPr>
        <w:tc>
          <w:tcPr>
            <w:tcW w:w="1700" w:type="dxa"/>
            <w:vAlign w:val="bottom"/>
          </w:tcPr>
          <w:p>
            <w:pPr>
              <w:spacing w:after="0"/>
              <w:rPr>
                <w:sz w:val="24"/>
                <w:szCs w:val="24"/>
                <w:color w:val="auto"/>
              </w:rPr>
            </w:pPr>
          </w:p>
        </w:tc>
        <w:tc>
          <w:tcPr>
            <w:tcW w:w="2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7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41,229</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38,376</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29"/>
        </w:trPr>
        <w:tc>
          <w:tcPr>
            <w:tcW w:w="1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-504825</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-487680</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-487680</wp:posOffset>
            </wp:positionV>
            <wp:extent cx="431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left="113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17,518</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33,687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6,445</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63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left="113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3,118</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700" w:type="dxa"/>
            <w:vAlign w:val="bottom"/>
          </w:tcPr>
          <w:p>
            <w:pPr>
              <w:spacing w:after="0"/>
              <w:rPr>
                <w:sz w:val="24"/>
                <w:szCs w:val="24"/>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6,091</w:t>
            </w:r>
          </w:p>
        </w:tc>
        <w:tc>
          <w:tcPr>
            <w:tcW w:w="2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7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left="109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manufacturing equipment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73,220</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(31,223 )</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(21,102 )</w:t>
            </w: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4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58,772</w:t>
            </w:r>
          </w:p>
        </w:tc>
        <w:tc>
          <w:tcPr>
            <w:tcW w:w="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37,902</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-4285615</wp:posOffset>
            </wp:positionV>
            <wp:extent cx="5143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-4285615</wp:posOffset>
            </wp:positionV>
            <wp:extent cx="4318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-2399665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-2382520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-2399665</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-2382520</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-505460</wp:posOffset>
            </wp:positionV>
            <wp:extent cx="51435"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-187960</wp:posOffset>
            </wp:positionV>
            <wp:extent cx="5143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$10.1 million, $5.7 million, and $3.7 million for the years ended December 31, 2022, 2021, and 2020, respectively.</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06"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0"/>
                <w:szCs w:val="20"/>
                <w:color w:val="auto"/>
              </w:rPr>
            </w:pPr>
          </w:p>
        </w:tc>
        <w:tc>
          <w:tcPr>
            <w:tcW w:w="2060" w:type="dxa"/>
            <w:vAlign w:val="bottom"/>
            <w:gridSpan w:val="5"/>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20" w:type="dxa"/>
            <w:vAlign w:val="bottom"/>
          </w:tcPr>
          <w:p>
            <w:pPr>
              <w:spacing w:after="0"/>
              <w:rPr>
                <w:sz w:val="11"/>
                <w:szCs w:val="11"/>
                <w:color w:val="auto"/>
              </w:rPr>
            </w:pPr>
          </w:p>
        </w:tc>
        <w:tc>
          <w:tcPr>
            <w:tcW w:w="8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480" w:type="dxa"/>
            <w:vAlign w:val="bottom"/>
            <w:gridSpan w:val="3"/>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(8,633 )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w w:val="88"/>
                <w:shd w:val="clear" w:color="auto" w:fill="CFF0FC"/>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shd w:val="clear" w:color="auto" w:fill="CFF0FC"/>
              </w:rPr>
              <w:t>(15,160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shd w:val="clear" w:color="auto" w:fill="CFF0FC"/>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-25400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Amortization expense for intangible assets was $1.7 million, $2.2 million, and $2.7 million, for the years ended December 31, 2022, 2021, and 2020, respectively. During the years ended December 31, 2022 and 2021, the Company purchased and capitalized software costs of $3.9 million and $6.0 million, respectively, to support research and development efforts. During the year ended December 31, 2020, the Company recorded impairment charges of $1.0 million related to capitalized cost of software that was within the development phase and was being developed solely to meet the Company’s internal needs. The impairment charge was recorded as research and development expense in the consolidated statement of operations.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had $0.8 million of intangibles that were still in development stage and were not being amortized. In July 2022, the Company placed the related product into production and began amortizing the internal use software. As of December 31, 2022, there were no intangibles that were in development stage and not being amortized. The estimated aggregate future amortization expense for intangible assets and subject to amortization as of December 31, 2022 is summarized as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700" w:type="dxa"/>
            <w:vAlign w:val="bottom"/>
            <w:vMerge w:val="restart"/>
          </w:tcPr>
          <w:p>
            <w:pPr>
              <w:spacing w:after="0"/>
              <w:rPr>
                <w:sz w:val="5"/>
                <w:szCs w:val="5"/>
                <w:color w:val="auto"/>
              </w:rPr>
            </w:pPr>
          </w:p>
        </w:tc>
        <w:tc>
          <w:tcPr>
            <w:tcW w:w="1800" w:type="dxa"/>
            <w:vAlign w:val="bottom"/>
            <w:vMerge w:val="restart"/>
          </w:tcPr>
          <w:p>
            <w:pPr>
              <w:spacing w:after="0"/>
              <w:rPr>
                <w:sz w:val="5"/>
                <w:szCs w:val="5"/>
                <w:color w:val="auto"/>
              </w:rPr>
            </w:pPr>
          </w:p>
        </w:tc>
        <w:tc>
          <w:tcPr>
            <w:tcW w:w="2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70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 and beyond</w:t>
            </w:r>
          </w:p>
        </w:tc>
        <w:tc>
          <w:tcPr>
            <w:tcW w:w="4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4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reserves</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non-recurring engineering services</w:t>
            </w:r>
          </w:p>
        </w:tc>
        <w:tc>
          <w:tcPr>
            <w:tcW w:w="4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 term lease liability</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customer rebates</w:t>
            </w:r>
          </w:p>
        </w:tc>
        <w:tc>
          <w:tcPr>
            <w:tcW w:w="4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700" w:type="dxa"/>
            <w:vAlign w:val="bottom"/>
          </w:tcPr>
          <w:p>
            <w:pPr>
              <w:spacing w:after="0"/>
              <w:rPr>
                <w:sz w:val="24"/>
                <w:szCs w:val="24"/>
                <w:color w:val="auto"/>
              </w:rPr>
            </w:pPr>
          </w:p>
        </w:tc>
        <w:tc>
          <w:tcPr>
            <w:tcW w:w="38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4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-2459355</wp:posOffset>
            </wp:positionV>
            <wp:extent cx="2540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400" cy="18859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2021 and through June 30, 2022, the Company had recorded $2.7 million of accrued customer rebates as contra revenue under a customer agreement. In July 2022, the customer waived the right to the rebate and the Company recorded the $2.7 million of accrued customer rebate as revenue.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leases real estate property under operating leases. The Company leases office space in California, Michigan, Malaysia, Japan, Taiwan, the Netherlands, Finland, and Ukraine all under non-cancellable operating leases with various expiration dates through April 2027.</w:t>
      </w:r>
    </w:p>
    <w:p>
      <w:pPr>
        <w:spacing w:after="0" w:line="162" w:lineRule="exact"/>
        <w:rPr>
          <w:sz w:val="20"/>
          <w:szCs w:val="20"/>
          <w:color w:val="auto"/>
        </w:rPr>
      </w:pPr>
    </w:p>
    <w:p>
      <w:pPr>
        <w:ind w:right="80" w:firstLine="554"/>
        <w:spacing w:after="0" w:line="256" w:lineRule="auto"/>
        <w:rPr>
          <w:sz w:val="20"/>
          <w:szCs w:val="20"/>
          <w:color w:val="auto"/>
        </w:rPr>
      </w:pPr>
      <w:r>
        <w:rPr>
          <w:rFonts w:ascii="Times New Roman" w:cs="Times New Roman" w:eastAsia="Times New Roman" w:hAnsi="Times New Roman"/>
          <w:sz w:val="18"/>
          <w:szCs w:val="18"/>
          <w:color w:val="auto"/>
        </w:rPr>
        <w:t>In January 2021, the Company signed an amendment to its Santa Clara office space lease where the lessor provided the Company lease incentives of $0.4 million and extended the term of the lease by three months. The amendment was accounted as a single modified lease and the remaining payments were remeasured using an updated discount rate. The agreement provides for an option to renew for an additional 5 years and for monthly rent payments through the term of the lease. During the year ended December 31, 2022, the Company commenced 8 operating leases with 2 to 7 year lease terms, and recorded right-of-use assets of $5.1 million, current lease liabilities of $1.1 million, and long-term lease liabilities of $4.2 million upon the commencement of these leases.</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remaining lease terms vary from 1 to 6 years. For its leases the Company has options to extend the lease term for periods varying from 1 to 5 years. These renewal options are not considered in the remaining lease term unless it is reasonably certain that the Company will exercise such options. The Company also has variable lease payments that are primarily composed of common area maintenance and utility charges.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consolidated balance sheet as of December 31, 2022 and 2021:</w:t>
      </w:r>
    </w:p>
    <w:p>
      <w:pPr>
        <w:spacing w:after="0" w:line="232" w:lineRule="exact"/>
        <w:rPr>
          <w:sz w:val="20"/>
          <w:szCs w:val="20"/>
          <w:color w:val="auto"/>
        </w:rPr>
      </w:pPr>
    </w:p>
    <w:tbl>
      <w:tblPr>
        <w:tblLayout w:type="fixed"/>
        <w:tblInd w:w="142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3"/>
          </w:tcPr>
          <w:p>
            <w:pPr>
              <w:ind w:left="16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1"/>
        </w:trPr>
        <w:tc>
          <w:tcPr>
            <w:tcW w:w="4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3"/>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gridSpan w:val="2"/>
          </w:tcPr>
          <w:p>
            <w:pPr>
              <w:spacing w:after="0"/>
              <w:rPr>
                <w:sz w:val="19"/>
                <w:szCs w:val="19"/>
                <w:color w:val="auto"/>
              </w:rPr>
            </w:pPr>
          </w:p>
        </w:tc>
      </w:tr>
      <w:tr>
        <w:trPr>
          <w:trHeight w:val="169"/>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05"/>
        </w:trPr>
        <w:tc>
          <w:tcPr>
            <w:tcW w:w="4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Lease liabilities included in accrued expenses and other</w:t>
            </w: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4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200" w:type="dxa"/>
            <w:vAlign w:val="bottom"/>
          </w:tcPr>
          <w:p>
            <w:pPr>
              <w:spacing w:after="0"/>
              <w:rPr>
                <w:sz w:val="20"/>
                <w:szCs w:val="20"/>
                <w:color w:val="auto"/>
              </w:rPr>
            </w:pPr>
          </w:p>
        </w:tc>
        <w:tc>
          <w:tcPr>
            <w:tcW w:w="3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3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-945515</wp:posOffset>
            </wp:positionV>
            <wp:extent cx="51435" cy="2997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29972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-945515</wp:posOffset>
            </wp:positionV>
            <wp:extent cx="51435" cy="2997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29972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-490855</wp:posOffset>
            </wp:positionV>
            <wp:extent cx="5143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-490855</wp:posOffset>
            </wp:positionV>
            <wp:extent cx="5143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years ended December 31, 2022, 2021, and 2020:</w:t>
      </w:r>
    </w:p>
    <w:p>
      <w:pPr>
        <w:spacing w:after="0" w:line="286"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3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9"/>
                <w:szCs w:val="19"/>
                <w:color w:val="auto"/>
              </w:rPr>
            </w:pPr>
          </w:p>
        </w:tc>
      </w:tr>
      <w:tr>
        <w:trPr>
          <w:trHeight w:val="236"/>
        </w:trPr>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60" w:type="dxa"/>
            <w:vAlign w:val="bottom"/>
            <w:shd w:val="clear" w:color="auto" w:fill="CFF0FC"/>
          </w:tcPr>
          <w:p>
            <w:pPr>
              <w:spacing w:after="0"/>
              <w:rPr>
                <w:sz w:val="21"/>
                <w:szCs w:val="21"/>
                <w:color w:val="auto"/>
              </w:rPr>
            </w:pPr>
          </w:p>
        </w:tc>
      </w:t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tcPr>
          <w:p>
            <w:pPr>
              <w:spacing w:after="0"/>
              <w:rPr>
                <w:sz w:val="20"/>
                <w:szCs w:val="20"/>
                <w:color w:val="auto"/>
              </w:rPr>
            </w:pPr>
          </w:p>
        </w:tc>
      </w:tr>
      <w:tr>
        <w:trPr>
          <w:trHeight w:val="247"/>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60" w:type="dxa"/>
            <w:vAlign w:val="bottom"/>
          </w:tcPr>
          <w:p>
            <w:pPr>
              <w:spacing w:after="0"/>
              <w:rPr>
                <w:sz w:val="20"/>
                <w:szCs w:val="20"/>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-187960</wp:posOffset>
            </wp:positionV>
            <wp:extent cx="431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431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17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Cash paid for operating lease liabilities was $2.5 million, $1.7 million, and $2.3 million for the years ended December 31, 2022, 2021, and 2020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Operating Lease Cash Flows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consolidated balance sheet as of December 31, 2022:</w:t>
      </w:r>
    </w:p>
    <w:p>
      <w:pPr>
        <w:spacing w:after="0" w:line="16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0" w:type="dxa"/>
            <w:vAlign w:val="bottom"/>
          </w:tcPr>
          <w:p>
            <w:pPr>
              <w:spacing w:after="0"/>
              <w:rPr>
                <w:sz w:val="21"/>
                <w:szCs w:val="21"/>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0" w:type="dxa"/>
            <w:vAlign w:val="bottom"/>
          </w:tcPr>
          <w:p>
            <w:pPr>
              <w:spacing w:after="0"/>
              <w:rPr>
                <w:sz w:val="20"/>
                <w:szCs w:val="20"/>
                <w:color w:val="auto"/>
              </w:rPr>
            </w:pPr>
          </w:p>
        </w:tc>
      </w:tr>
      <w:tr>
        <w:trPr>
          <w:trHeight w:val="24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FF0FC"/>
          </w:tcPr>
          <w:p>
            <w:pPr>
              <w:spacing w:after="0"/>
              <w:rPr>
                <w:sz w:val="21"/>
                <w:szCs w:val="21"/>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20" w:type="dxa"/>
            <w:vAlign w:val="bottom"/>
          </w:tcPr>
          <w:p>
            <w:pPr>
              <w:spacing w:after="0"/>
              <w:rPr>
                <w:sz w:val="21"/>
                <w:szCs w:val="21"/>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20"/>
                <w:szCs w:val="20"/>
                <w:color w:val="auto"/>
              </w:rPr>
            </w:pPr>
          </w:p>
        </w:tc>
      </w:tr>
      <w:tr>
        <w:trPr>
          <w:trHeight w:val="247"/>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21"/>
                <w:szCs w:val="21"/>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tcPr>
          <w:p>
            <w:pPr>
              <w:spacing w:after="0"/>
              <w:rPr>
                <w:sz w:val="21"/>
                <w:szCs w:val="21"/>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2028 and beyond</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20"/>
                <w:szCs w:val="20"/>
                <w:color w:val="auto"/>
              </w:rPr>
            </w:pPr>
          </w:p>
        </w:tc>
      </w:tr>
      <w:tr>
        <w:trPr>
          <w:trHeight w:val="241"/>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shd w:val="clear" w:color="auto" w:fill="CFF0FC"/>
          </w:tcPr>
          <w:p>
            <w:pPr>
              <w:spacing w:after="0"/>
              <w:rPr>
                <w:sz w:val="20"/>
                <w:szCs w:val="20"/>
                <w:color w:val="auto"/>
              </w:rPr>
            </w:pPr>
          </w:p>
        </w:tc>
        <w:tc>
          <w:tcPr>
            <w:tcW w:w="14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20" w:type="dxa"/>
            <w:vAlign w:val="bottom"/>
          </w:tcPr>
          <w:p>
            <w:pPr>
              <w:spacing w:after="0"/>
              <w:rPr>
                <w:sz w:val="20"/>
                <w:szCs w:val="20"/>
                <w:color w:val="auto"/>
              </w:rPr>
            </w:pPr>
          </w:p>
        </w:tc>
      </w:tr>
      <w:tr>
        <w:trPr>
          <w:trHeight w:val="23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(1,029 )</w:t>
            </w:r>
          </w:p>
        </w:tc>
        <w:tc>
          <w:tcPr>
            <w:tcW w:w="20" w:type="dxa"/>
            <w:vAlign w:val="bottom"/>
          </w:tcPr>
          <w:p>
            <w:pPr>
              <w:spacing w:after="0"/>
              <w:rPr>
                <w:sz w:val="20"/>
                <w:szCs w:val="20"/>
                <w:color w:val="auto"/>
              </w:rPr>
            </w:pPr>
          </w:p>
        </w:tc>
      </w:tr>
      <w:tr>
        <w:trPr>
          <w:trHeight w:val="241"/>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20" w:type="dxa"/>
            <w:vAlign w:val="bottom"/>
          </w:tcPr>
          <w:p>
            <w:pPr>
              <w:spacing w:after="0"/>
              <w:rPr>
                <w:sz w:val="20"/>
                <w:szCs w:val="20"/>
                <w:color w:val="auto"/>
              </w:rPr>
            </w:pPr>
          </w:p>
        </w:tc>
      </w:tr>
      <w:tr>
        <w:trPr>
          <w:trHeight w:val="24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(2,485 )</w:t>
            </w:r>
          </w:p>
        </w:tc>
        <w:tc>
          <w:tcPr>
            <w:tcW w:w="20" w:type="dxa"/>
            <w:vAlign w:val="bottom"/>
          </w:tcPr>
          <w:p>
            <w:pPr>
              <w:spacing w:after="0"/>
              <w:rPr>
                <w:sz w:val="21"/>
                <w:szCs w:val="21"/>
                <w:color w:val="auto"/>
              </w:rPr>
            </w:pPr>
          </w:p>
        </w:tc>
      </w:tr>
      <w:tr>
        <w:trPr>
          <w:trHeight w:val="277"/>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22" w:lineRule="exact"/>
        <w:rPr>
          <w:sz w:val="20"/>
          <w:szCs w:val="20"/>
          <w:color w:val="auto"/>
        </w:rPr>
      </w:pPr>
    </w:p>
    <w:p>
      <w:pPr>
        <w:ind w:right="8480" w:firstLine="8"/>
        <w:spacing w:after="0" w:line="377" w:lineRule="auto"/>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Commitments</w:t>
      </w:r>
    </w:p>
    <w:p>
      <w:pPr>
        <w:spacing w:after="0" w:line="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In addition, the Company has a multi-year agreement to purchase minimum quantities of MEMS wafers and is responsible for research and development, tooling, and samples cost under the agreement.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December 31, 2022 were as follows:</w:t>
      </w:r>
    </w:p>
    <w:p>
      <w:pPr>
        <w:spacing w:after="0" w:line="304" w:lineRule="exact"/>
        <w:rPr>
          <w:sz w:val="20"/>
          <w:szCs w:val="20"/>
          <w:color w:val="auto"/>
        </w:rPr>
      </w:pPr>
    </w:p>
    <w:tbl>
      <w:tblPr>
        <w:tblLayout w:type="fixed"/>
        <w:tblInd w:w="3900" w:type="dxa"/>
        <w:tblCellMar>
          <w:top w:w="0" w:type="dxa"/>
          <w:left w:w="0" w:type="dxa"/>
          <w:bottom w:w="0" w:type="dxa"/>
          <w:right w:w="0" w:type="dxa"/>
        </w:tblCellMar>
      </w:tblPr>
      <w:tr>
        <w:trPr>
          <w:trHeight w:val="187"/>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20" w:type="dxa"/>
            <w:vAlign w:val="bottom"/>
            <w:shd w:val="clear" w:color="auto" w:fill="CFF0FC"/>
          </w:tcPr>
          <w:p>
            <w:pPr>
              <w:spacing w:after="0"/>
              <w:rPr>
                <w:sz w:val="21"/>
                <w:szCs w:val="21"/>
                <w:color w:val="auto"/>
              </w:rPr>
            </w:pPr>
          </w:p>
        </w:tc>
      </w:tr>
      <w:tr>
        <w:trPr>
          <w:trHeight w:val="239"/>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20" w:type="dxa"/>
            <w:vAlign w:val="bottom"/>
          </w:tcPr>
          <w:p>
            <w:pPr>
              <w:spacing w:after="0"/>
              <w:rPr>
                <w:sz w:val="20"/>
                <w:szCs w:val="20"/>
                <w:color w:val="auto"/>
              </w:rPr>
            </w:pPr>
          </w:p>
        </w:tc>
      </w:tr>
      <w:tr>
        <w:trPr>
          <w:trHeight w:val="247"/>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20" w:type="dxa"/>
            <w:vAlign w:val="bottom"/>
            <w:shd w:val="clear" w:color="auto" w:fill="CFF0FC"/>
          </w:tcPr>
          <w:p>
            <w:pPr>
              <w:spacing w:after="0"/>
              <w:rPr>
                <w:sz w:val="21"/>
                <w:szCs w:val="21"/>
                <w:color w:val="auto"/>
              </w:rPr>
            </w:pPr>
          </w:p>
        </w:tc>
      </w:tr>
      <w:tr>
        <w:trPr>
          <w:trHeight w:val="239"/>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20" w:type="dxa"/>
            <w:vAlign w:val="bottom"/>
          </w:tcPr>
          <w:p>
            <w:pPr>
              <w:spacing w:after="0"/>
              <w:rPr>
                <w:sz w:val="20"/>
                <w:szCs w:val="20"/>
                <w:color w:val="auto"/>
              </w:rPr>
            </w:pPr>
          </w:p>
        </w:tc>
      </w:tr>
      <w:tr>
        <w:trPr>
          <w:trHeight w:val="247"/>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2028 and beyond</w:t>
            </w:r>
          </w:p>
        </w:tc>
        <w:tc>
          <w:tcPr>
            <w:tcW w:w="1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2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38,784</w:t>
            </w:r>
          </w:p>
        </w:tc>
        <w:tc>
          <w:tcPr>
            <w:tcW w:w="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-25400</wp:posOffset>
            </wp:positionV>
            <wp:extent cx="171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171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 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 Obligations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31, 2015, the Company entered into a bank transaction agreement with The Bank of Tokyo Mitsubishi UFJ, Ltd. ("MUFG"). The agreement provided for a revolving line of credit with a maximum available borrowing of $20.0 million, which was increased to $50.0 million in June 2018. Between August 2015 and December 31, 2019, the Company borrowed $139.0 million in several draw-downs against the revolving line of credit with terms ranging from one month to one year and interest rate ranging between 1.01% to 4.07%. On July 24, 2020, the Company paid $76.0 million to fully pay down all outstanding loans and cancel the line of credit with MUFG of which $12.0 million of loans were prepaid with a penalty of $0.1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certificate of incorporation, as amended and currently in effect, authorizes the Company to issue 200,000,000 shares of common stock, par value $0.0001 per share. Each share of common stock is entitled to one vote. The holders of common stock are also entitled to receive dividends whenever funds are legally available and when and if declared by the board of directors, subject to the prior rights of holders of all classes of preferred stock outstanding. The Company has never declared any dividends.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June 16, 2020, the Company completed a follow-on public offering, in which it issued and sold 1,525,000 shares of its common stock, resulting in net proceeds to the Company of $45.8 million after deducting underwriting discounts and commissions of $2.7 million and deferred offering costs of $0.3 million.</w:t>
      </w:r>
    </w:p>
    <w:p>
      <w:pPr>
        <w:spacing w:after="0" w:line="6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February 22, 2021, the Company completed an additional follow-on public offering, in which we issued and sold 1,500,000 shares of its common stock, resulting in net proceeds to the Company of $181.6 million after deducting underwriting discounts and commissions of $8.6 million and deferred offering costs of $0.3 million.</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November 10, 2021 the Company completed a follow-on public offering, in which it issued and sold 1,300,000 shares of its common stock, resulting in net proceeds to the Company of $279.0 million after deducting underwriting discounts and commissions of $13.2 million and deferred offering costs of $0.3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May 4, 2022, the Company entered into a Sales Agreement ("Sales Agreement"), with Stifel, Nicolaus &amp; Company, Incorporated ("Stifel"), under which the Company may offer and sell from time to time at its sole discretion, up to an aggregate of 800,000 shares of its common stock, par value $0.0001 per share, through Stifel as its sales agent. The Company intends to use the net proceeds from the shares of common stock offered and sold to primarily replenish funds expended to satisfy anticipated tax withholding and remittance obligations related to the net settlement upon vesting of restricted stock unit awards (“RSU”) granted to employees under the equity incentive plans. The Company has filed a prospectus supplement pursuant to the Sales Agreement for the offer and sale of up to an aggregate of 800,000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 During the year ended December 31, 2022, the Company sold 225,334 shares of its common stock to Stifel under the Sales Agreement at a weighted average price of $150.78 per share resulting in net proceeds to the Company of $33.0 million, after deducting underwriting discounts and commissions of $0.7 million and deferred offering costs of $0.2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SiTime Corporation 2019 Stock Incentive Plan</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Upon completion of its IPO in November 2019, the Company adopted the SiTime Corporation 2019 Stock Incentive Plan (the “2019 Plan”). The 2019 Plan provides for the grant of incentive stock options, non-statutory stock options, restricted stock awards, restricted stock unit awards, stock appreciation rights, performance stock awards, and other forms of equity compensation</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73" w:name="page74"/>
    <w:bookmarkEnd w:id="73"/>
    <w:p>
      <w:pPr>
        <w:ind w:right="60"/>
        <w:spacing w:after="0" w:line="266" w:lineRule="auto"/>
        <w:rPr>
          <w:sz w:val="20"/>
          <w:szCs w:val="20"/>
          <w:color w:val="auto"/>
        </w:rPr>
      </w:pPr>
      <w:r>
        <w:rPr>
          <w:rFonts w:ascii="Times New Roman" w:cs="Times New Roman" w:eastAsia="Times New Roman" w:hAnsi="Times New Roman"/>
          <w:sz w:val="18"/>
          <w:szCs w:val="18"/>
          <w:color w:val="auto"/>
        </w:rPr>
        <w:t>(collectively, “stock awards”), and cash awards, all of which may be granted to employees (including officers), directors, and consultants or affiliates. Awards granted under the 2019 Plan vest at the rate specified by the plan administrator, for restricted stock unit awards primarily within the quarter to four years. As of December 31, 2022, 0.8 million shares were available for future issuance.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SiTime Corporation 2022 Inducement Award Plan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February 2022, the Company adopted the SiTime Corporation 2022 Inducement Award Plan (the "2022 Plan"), which initially reserved 250,000 shares of the Company's common stock. The 2022 Plan provides for the grant of incentive stock options, non-statutory stock options, restricted stock awards, restricted stock unit awards, stock appreciation rights, and other forms of equity compensation and cash awards, all of which may be granted to employees (including officers). Awards granted under the 2022 Plan vest at the rate specified by the plan administrator, for restricted stock unit awards primarily over one to four years. As of December 31, 2022, 27,000 shares were available for future issuance.</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Bonus and Retention Plans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4, 2020, the Compensation Committee of the Company adopted and approved the Executive Bonus and Retention Plan. In August 2020, the Compensation Committee approved target bonus amounts and performance goals for the second half of the fiscal year 2020 (the “2020 Goals”). In each of January and July 2021, the Compensation Committee approved target bonus amounts and performance goals for the first half and second half, respectively, of the fiscal year 2021 (the “2021 Goals”). In January and August 2022, the Compensation Committee approved target bonus amounts and performance goals for the first half of the fiscal year 2022 (the “2022 Goals”). The 2020 Goals, 2021 Goals, and 2022 Goals are based on the achievement of revenue and Non-GAAP operating profit which excludes certain costs such as stock based compensation costs, as well as individual performance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consolidated cash flow statements. The liability of $0.8 million for the 2022 Goals was recorded as accrued expenses and other current liabilities in the consolidated balance sheet as of December 31, 2022. Actual payouts ranged from 119% to 144% of target for the 2020 Goals, ranged from 76% to 150% of target for the 2021 Goals, and ranged from 44% to 130% of target for the 2022 Goals, in each case based on performance.</w:t>
      </w:r>
    </w:p>
    <w:p>
      <w:pPr>
        <w:spacing w:after="0" w:line="82"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In April 2022, the Company adopted a bonus plan for certain employees. The target bonuses are granted based on a fixed dollar amount to be settled in RSUs in the quarter following the end of the performance period. Due to the fixed dollar amount targets, the awards have been classified as liability-based awards until settled. Once settled, these awards are reflected as RSU granted in the above table. Such expense is included in the non-cash adjustment within stock-based compensation expense on the consolidated cash flow statements and was $2.1 million for the year ended December 31, 2022. The liability of $0.8 million was recorded as accrued expenses and other current liabilities in the consolidated balance sheet as of December 31, 2022.</w:t>
      </w:r>
    </w:p>
    <w:p>
      <w:pPr>
        <w:spacing w:after="0" w:line="6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December 17, 2021, the Compensation Committee of the Company approved performance based restricted stock unit awards ("PRSU") with performance goals for the year 2022 (the “PRSU 2022 Goals”). The PRSU 2022 Goals are based on the achievement of revenue, which were not met for the year ended December 31, 2022.</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February 2022, the Compensation Committee of the Company approved and granted to certain of the Company’s executive officers MYPSUs with vesting based on achievement of stock price targets, which are measured based on the 60-trading day average per share closing price of the Company’s common stock on the Nasdaq Global Market during the performance periods of up to six years from the date of grant, subject to the continued service of the grantee through the vest date. The grant-date fair value of each MYPSU was determined using Monte Carlo simulation model. The assumptions used in the Monte Carlo simulation included expected volatility of 44.4%, risk free rate of 1.83%, no expected dividend yield, expected term of six years and possible future stock prices over the performance period based on historical stock and market prices. The Company recognizes the expense related to the MYPSUs on a graded-vesting method over the requisite service period.</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2020, the Company granted CRSUs as part of an employee bonus plan. The Company ended this program effective April 1, 2021. Generally, such units were granted quarterly and fully vested at the end of the quarter they were granted except units granted to new hires that had a one-year cliff vesting. Such awards were classified as liability-based awards.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4" w:name="page75"/>
    <w:bookmarkEnd w:id="74"/>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PRSU, and MYPSU awards activity for the years ended December 31, 2022, 2021 and 2020:</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27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RSU</w:t>
            </w: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PRSU</w:t>
            </w:r>
          </w:p>
        </w:tc>
        <w:tc>
          <w:tcPr>
            <w:tcW w:w="220" w:type="dxa"/>
            <w:vAlign w:val="bottom"/>
          </w:tcPr>
          <w:p>
            <w:pPr>
              <w:spacing w:after="0"/>
              <w:rPr>
                <w:sz w:val="16"/>
                <w:szCs w:val="16"/>
                <w:color w:val="auto"/>
              </w:rPr>
            </w:pPr>
          </w:p>
        </w:tc>
        <w:tc>
          <w:tcPr>
            <w:tcW w:w="1980" w:type="dxa"/>
            <w:vAlign w:val="bottom"/>
            <w:tcBorders>
              <w:bottom w:val="single" w:sz="8" w:color="auto"/>
            </w:tcBorders>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MYPSU</w:t>
            </w:r>
          </w:p>
        </w:tc>
        <w:tc>
          <w:tcPr>
            <w:tcW w:w="80" w:type="dxa"/>
            <w:vAlign w:val="bottom"/>
          </w:tcPr>
          <w:p>
            <w:pPr>
              <w:spacing w:after="0"/>
              <w:rPr>
                <w:sz w:val="16"/>
                <w:szCs w:val="16"/>
                <w:color w:val="auto"/>
              </w:rPr>
            </w:pPr>
          </w:p>
        </w:tc>
      </w:tr>
      <w:tr>
        <w:trPr>
          <w:trHeight w:val="158"/>
        </w:trPr>
        <w:tc>
          <w:tcPr>
            <w:tcW w:w="2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21"/>
              <w:spacing w:after="0" w:line="15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1"/>
              <w:spacing w:after="0" w:line="15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41"/>
              <w:spacing w:after="0" w:line="158"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3"/>
                <w:szCs w:val="13"/>
                <w:color w:val="auto"/>
              </w:rPr>
            </w:pPr>
          </w:p>
        </w:tc>
      </w:tr>
      <w:tr>
        <w:trPr>
          <w:trHeight w:val="176"/>
        </w:trPr>
        <w:tc>
          <w:tcPr>
            <w:tcW w:w="2760" w:type="dxa"/>
            <w:vAlign w:val="bottom"/>
          </w:tcPr>
          <w:p>
            <w:pPr>
              <w:spacing w:after="0"/>
              <w:rPr>
                <w:sz w:val="15"/>
                <w:szCs w:val="15"/>
                <w:color w:val="auto"/>
              </w:rPr>
            </w:pP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10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5"/>
                <w:szCs w:val="15"/>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5"/>
                <w:szCs w:val="15"/>
                <w:color w:val="auto"/>
              </w:rPr>
            </w:pPr>
          </w:p>
        </w:tc>
      </w:tr>
      <w:tr>
        <w:trPr>
          <w:trHeight w:val="187"/>
        </w:trPr>
        <w:tc>
          <w:tcPr>
            <w:tcW w:w="2760" w:type="dxa"/>
            <w:vAlign w:val="bottom"/>
          </w:tcPr>
          <w:p>
            <w:pPr>
              <w:spacing w:after="0"/>
              <w:rPr>
                <w:sz w:val="16"/>
                <w:szCs w:val="16"/>
                <w:color w:val="auto"/>
              </w:rPr>
            </w:pPr>
          </w:p>
        </w:tc>
        <w:tc>
          <w:tcPr>
            <w:tcW w:w="11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6"/>
                <w:szCs w:val="16"/>
                <w:color w:val="auto"/>
              </w:rPr>
            </w:pPr>
          </w:p>
        </w:tc>
      </w:tr>
      <w:tr>
        <w:trPr>
          <w:trHeight w:val="264"/>
        </w:trPr>
        <w:tc>
          <w:tcPr>
            <w:tcW w:w="2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gridSpan w:val="2"/>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9"/>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at December 31, 2019</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2,989,322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r>
      <w:tr>
        <w:trPr>
          <w:trHeight w:val="22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682,517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r>
      <w:tr>
        <w:trPr>
          <w:trHeight w:val="239"/>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6"/>
                <w:szCs w:val="16"/>
                <w:color w:val="auto"/>
              </w:rPr>
              <w:t>(766,934 )</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(169,199 )</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r>
      <w:tr>
        <w:trPr>
          <w:trHeight w:val="223"/>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at December 31,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2,735,706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438,474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58,954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r>
      <w:tr>
        <w:trPr>
          <w:trHeight w:val="239"/>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6"/>
                <w:szCs w:val="16"/>
                <w:color w:val="auto"/>
              </w:rPr>
              <w:t>(874,462 )</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(72,521 )</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r>
      <w:tr>
        <w:trPr>
          <w:trHeight w:val="267"/>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at December 31,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2,227,197</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58,954</w:t>
            </w:r>
          </w:p>
        </w:tc>
        <w:tc>
          <w:tcPr>
            <w:tcW w:w="2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22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23"/>
                <w:szCs w:val="23"/>
                <w:color w:val="auto"/>
              </w:rPr>
            </w:pPr>
          </w:p>
        </w:tc>
      </w:tr>
      <w:tr>
        <w:trPr>
          <w:trHeight w:val="20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468,703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311,872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80" w:type="dxa"/>
            <w:vAlign w:val="bottom"/>
          </w:tcPr>
          <w:p>
            <w:pPr>
              <w:spacing w:after="0"/>
              <w:rPr>
                <w:sz w:val="17"/>
                <w:szCs w:val="17"/>
                <w:color w:val="auto"/>
              </w:rPr>
            </w:pPr>
          </w:p>
        </w:tc>
      </w:tr>
      <w:tr>
        <w:trPr>
          <w:trHeight w:val="239"/>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6"/>
                <w:szCs w:val="16"/>
                <w:color w:val="auto"/>
              </w:rPr>
              <w:t>(919,530 )</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(58,376 )</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r>
      <w:tr>
        <w:trPr>
          <w:trHeight w:val="267"/>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at December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1,717,994</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2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58,954</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22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311,872</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-1242060</wp:posOffset>
            </wp:positionV>
            <wp:extent cx="6858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-1242060</wp:posOffset>
            </wp:positionV>
            <wp:extent cx="6032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-1242060</wp:posOffset>
            </wp:positionV>
            <wp:extent cx="60325"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-641985</wp:posOffset>
            </wp:positionV>
            <wp:extent cx="306895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68955"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5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difference between the number of RSUs vested and the shares of common stock issued during the year ended December 31, 2022 and 2020 is the result of RSUs withheld in satisfaction of minimum tax withholding obligations associated with the vesting. The total fair value, as of the vesting date, of awards vested during the years ended December 31, 2022, 2021, and 2020 were $40.5 million, $161.2 million, and $43.7 million, respectively.</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5" w:right="459" w:bottom="1440" w:gutter="0" w:footer="0" w:header="0"/>
        </w:sectPr>
      </w:pPr>
    </w:p>
    <w:bookmarkStart w:id="75" w:name="page76"/>
    <w:bookmarkEnd w:id="75"/>
    <w:p>
      <w:pPr>
        <w:ind w:left="520"/>
        <w:spacing w:after="0"/>
        <w:rPr>
          <w:sz w:val="20"/>
          <w:szCs w:val="20"/>
          <w:color w:val="auto"/>
        </w:rPr>
      </w:pPr>
      <w:r>
        <w:rPr>
          <w:rFonts w:ascii="Times New Roman" w:cs="Times New Roman" w:eastAsia="Times New Roman" w:hAnsi="Times New Roman"/>
          <w:sz w:val="18"/>
          <w:szCs w:val="18"/>
          <w:color w:val="auto"/>
        </w:rPr>
        <w:t>Total stock-based compensation expense for employees recognized in the consolidated statements of operations and comprehensive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6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199"/>
        </w:trPr>
        <w:tc>
          <w:tcPr>
            <w:tcW w:w="6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based awards</w:t>
            </w: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3"/>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shd w:val="clear" w:color="auto" w:fill="CFF0FC"/>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23,024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Pr>
          <w:p>
            <w:pPr>
              <w:spacing w:after="0"/>
              <w:rPr>
                <w:sz w:val="20"/>
                <w:szCs w:val="20"/>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28,177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80" w:type="dxa"/>
            <w:vAlign w:val="bottom"/>
          </w:tcPr>
          <w:p>
            <w:pPr>
              <w:spacing w:after="0"/>
              <w:rPr>
                <w:sz w:val="20"/>
                <w:szCs w:val="20"/>
                <w:color w:val="auto"/>
              </w:rPr>
            </w:pP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53,062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00" w:type="dxa"/>
            <w:vAlign w:val="bottom"/>
          </w:tcPr>
          <w:p>
            <w:pPr>
              <w:spacing w:after="0"/>
              <w:rPr>
                <w:sz w:val="20"/>
                <w:szCs w:val="20"/>
                <w:color w:val="auto"/>
              </w:rPr>
            </w:pPr>
          </w:p>
        </w:tc>
      </w:tr>
      <w:tr>
        <w:trPr>
          <w:trHeight w:val="20"/>
        </w:trPr>
        <w:tc>
          <w:tcPr>
            <w:tcW w:w="6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6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Liability based awards - to be settled in equity</w:t>
            </w:r>
          </w:p>
        </w:tc>
        <w:tc>
          <w:tcPr>
            <w:tcW w:w="8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0"/>
                <w:szCs w:val="20"/>
                <w:color w:val="auto"/>
              </w:rPr>
            </w:pPr>
          </w:p>
        </w:tc>
      </w:tr>
      <w:tr>
        <w:trPr>
          <w:trHeight w:val="236"/>
        </w:trPr>
        <w:tc>
          <w:tcPr>
            <w:tcW w:w="6680" w:type="dxa"/>
            <w:vAlign w:val="bottom"/>
          </w:tcPr>
          <w:p>
            <w:pPr>
              <w:spacing w:after="0"/>
              <w:rPr>
                <w:sz w:val="20"/>
                <w:szCs w:val="20"/>
                <w:color w:val="auto"/>
              </w:rPr>
            </w:pPr>
          </w:p>
        </w:tc>
        <w:tc>
          <w:tcPr>
            <w:tcW w:w="8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0"/>
                <w:szCs w:val="20"/>
                <w:color w:val="auto"/>
              </w:rPr>
            </w:pPr>
          </w:p>
        </w:tc>
      </w:tr>
      <w:tr>
        <w:trPr>
          <w:trHeight w:val="281"/>
        </w:trPr>
        <w:tc>
          <w:tcPr>
            <w:tcW w:w="6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 equity and liability based</w:t>
            </w:r>
          </w:p>
        </w:tc>
        <w:tc>
          <w:tcPr>
            <w:tcW w:w="800" w:type="dxa"/>
            <w:vAlign w:val="bottom"/>
            <w:tcBorders>
              <w:bottom w:val="single" w:sz="8" w:color="auto"/>
            </w:tcBorders>
            <w:shd w:val="clear" w:color="auto" w:fill="CFF0FC"/>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57,415</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7"/>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Liability-based awards - cash settled</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6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shd w:val="clear" w:color="auto" w:fill="CFF0FC"/>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0"/>
                <w:szCs w:val="20"/>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80" w:type="dxa"/>
            <w:vAlign w:val="bottom"/>
          </w:tcPr>
          <w:p>
            <w:pPr>
              <w:spacing w:after="0"/>
              <w:rPr>
                <w:sz w:val="20"/>
                <w:szCs w:val="20"/>
                <w:color w:val="auto"/>
              </w:rPr>
            </w:pPr>
          </w:p>
        </w:tc>
        <w:tc>
          <w:tcPr>
            <w:tcW w:w="8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20"/>
                <w:szCs w:val="20"/>
                <w:color w:val="auto"/>
              </w:rPr>
            </w:pPr>
          </w:p>
        </w:tc>
      </w:tr>
      <w:tr>
        <w:trPr>
          <w:trHeight w:val="20"/>
        </w:trPr>
        <w:tc>
          <w:tcPr>
            <w:tcW w:w="6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57,415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16,966</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recorded to additional paid-in capital</w:t>
            </w:r>
          </w:p>
        </w:tc>
        <w:tc>
          <w:tcPr>
            <w:tcW w:w="8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awards</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53,062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00" w:type="dxa"/>
            <w:vAlign w:val="bottom"/>
          </w:tcPr>
          <w:p>
            <w:pPr>
              <w:spacing w:after="0"/>
              <w:rPr>
                <w:sz w:val="20"/>
                <w:szCs w:val="20"/>
                <w:color w:val="auto"/>
              </w:rPr>
            </w:pPr>
          </w:p>
        </w:tc>
      </w:tr>
      <w:tr>
        <w:trPr>
          <w:trHeight w:val="243"/>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based awards - settled in equity</w:t>
            </w:r>
          </w:p>
        </w:tc>
        <w:tc>
          <w:tcPr>
            <w:tcW w:w="8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 recorded to additional paid-in capital</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57,251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00" w:type="dxa"/>
            <w:vAlign w:val="bottom"/>
          </w:tcPr>
          <w:p>
            <w:pPr>
              <w:spacing w:after="0"/>
              <w:rPr>
                <w:sz w:val="20"/>
                <w:szCs w:val="20"/>
                <w:color w:val="auto"/>
              </w:rPr>
            </w:pPr>
          </w:p>
        </w:tc>
      </w:tr>
      <w:tr>
        <w:trPr>
          <w:trHeight w:val="20"/>
        </w:trPr>
        <w:tc>
          <w:tcPr>
            <w:tcW w:w="6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-3342640</wp:posOffset>
            </wp:positionV>
            <wp:extent cx="77470" cy="3600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3600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-3342640</wp:posOffset>
            </wp:positionV>
            <wp:extent cx="68580" cy="3600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3600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3600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3600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-2022475</wp:posOffset>
            </wp:positionV>
            <wp:extent cx="2065655" cy="3511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65655" cy="3511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-1207770</wp:posOffset>
            </wp:positionV>
            <wp:extent cx="77470" cy="5397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5397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-1207770</wp:posOffset>
            </wp:positionV>
            <wp:extent cx="68580" cy="5397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5397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5397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53975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7747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costs and related weighted average period of recognition as of December 31,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42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9"/>
                <w:szCs w:val="19"/>
                <w:color w:val="auto"/>
              </w:rPr>
            </w:pPr>
          </w:p>
        </w:tc>
      </w:tr>
      <w:tr>
        <w:trPr>
          <w:trHeight w:val="131"/>
        </w:trPr>
        <w:tc>
          <w:tcPr>
            <w:tcW w:w="4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3"/>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44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r>
      <w:tr>
        <w:trPr>
          <w:trHeight w:val="148"/>
        </w:trPr>
        <w:tc>
          <w:tcPr>
            <w:tcW w:w="42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Costs (in</w:t>
            </w:r>
          </w:p>
        </w:tc>
        <w:tc>
          <w:tcPr>
            <w:tcW w:w="14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Period of Recognition</w:t>
            </w:r>
          </w:p>
        </w:tc>
        <w:tc>
          <w:tcPr>
            <w:tcW w:w="100" w:type="dxa"/>
            <w:vAlign w:val="bottom"/>
          </w:tcPr>
          <w:p>
            <w:pPr>
              <w:spacing w:after="0"/>
              <w:rPr>
                <w:sz w:val="12"/>
                <w:szCs w:val="12"/>
                <w:color w:val="auto"/>
              </w:rPr>
            </w:pPr>
          </w:p>
        </w:tc>
      </w:tr>
      <w:tr>
        <w:trPr>
          <w:trHeight w:val="187"/>
        </w:trPr>
        <w:tc>
          <w:tcPr>
            <w:tcW w:w="42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r>
      <w:tr>
        <w:trPr>
          <w:trHeight w:val="23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7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8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0"/>
                <w:szCs w:val="20"/>
                <w:color w:val="auto"/>
              </w:rPr>
            </w:pP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MYPSUs</w:t>
            </w:r>
          </w:p>
        </w:tc>
        <w:tc>
          <w:tcPr>
            <w:tcW w:w="3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Liability-based awards</w:t>
            </w:r>
          </w:p>
        </w:tc>
        <w:tc>
          <w:tcPr>
            <w:tcW w:w="3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r>
      <w:tr>
        <w:trPr>
          <w:trHeight w:val="281"/>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unrecognized compensation costs</w:t>
            </w:r>
          </w:p>
        </w:tc>
        <w:tc>
          <w:tcPr>
            <w:tcW w:w="37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8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r>
        <w:trPr>
          <w:trHeight w:val="629"/>
        </w:trPr>
        <w:tc>
          <w:tcPr>
            <w:tcW w:w="4200" w:type="dxa"/>
            <w:vAlign w:val="bottom"/>
          </w:tcPr>
          <w:p>
            <w:pPr>
              <w:spacing w:after="0"/>
              <w:rPr>
                <w:sz w:val="24"/>
                <w:szCs w:val="24"/>
                <w:color w:val="auto"/>
              </w:rPr>
            </w:pPr>
          </w:p>
        </w:tc>
        <w:tc>
          <w:tcPr>
            <w:tcW w:w="37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-521970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-504825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income (loss) before income taxes were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2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
        </w:trPr>
        <w:tc>
          <w:tcPr>
            <w:tcW w:w="21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69"/>
        </w:trPr>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(9,645 )</w:t>
            </w:r>
          </w:p>
        </w:tc>
        <w:tc>
          <w:tcPr>
            <w:tcW w:w="20" w:type="dxa"/>
            <w:vAlign w:val="bottom"/>
          </w:tcPr>
          <w:p>
            <w:pPr>
              <w:spacing w:after="0"/>
              <w:rPr>
                <w:sz w:val="21"/>
                <w:szCs w:val="21"/>
                <w:color w:val="auto"/>
              </w:rPr>
            </w:pPr>
          </w:p>
        </w:tc>
      </w:tr>
      <w:tr>
        <w:trPr>
          <w:trHeight w:val="23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(24 )</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7"/>
        </w:trPr>
        <w:tc>
          <w:tcPr>
            <w:tcW w:w="2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1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-24765</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income tax expense were as follows:</w:t>
      </w:r>
    </w:p>
    <w:p>
      <w:pPr>
        <w:spacing w:after="0" w:line="313"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9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3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Provision:</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3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gridSpan w:val="3"/>
          </w:tcPr>
          <w:p>
            <w:pPr>
              <w:spacing w:after="0"/>
              <w:rPr>
                <w:sz w:val="4"/>
                <w:szCs w:val="4"/>
                <w:color w:val="auto"/>
              </w:rPr>
            </w:pPr>
          </w:p>
        </w:tc>
        <w:tc>
          <w:tcPr>
            <w:tcW w:w="1060" w:type="dxa"/>
            <w:vAlign w:val="bottom"/>
            <w:gridSpan w:val="3"/>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(11 ) $</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560" w:type="dxa"/>
            <w:vAlign w:val="bottom"/>
          </w:tcPr>
          <w:p>
            <w:pPr>
              <w:spacing w:after="0"/>
              <w:rPr>
                <w:sz w:val="20"/>
                <w:szCs w:val="20"/>
                <w:color w:val="auto"/>
              </w:rPr>
            </w:pP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5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92"/>
              </w:rPr>
              <w:t>(81 )</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c>
          <w:tcPr>
            <w:tcW w:w="26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560" w:type="dxa"/>
            <w:vAlign w:val="bottom"/>
          </w:tcPr>
          <w:p>
            <w:pPr>
              <w:spacing w:after="0"/>
              <w:rPr>
                <w:sz w:val="20"/>
                <w:szCs w:val="20"/>
                <w:color w:val="auto"/>
              </w:rPr>
            </w:pP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2"/>
              </w:rPr>
              <w:t xml:space="preserve">(82 </w:t>
            </w:r>
            <w:r>
              <w:rPr>
                <w:rFonts w:ascii="Times New Roman" w:cs="Times New Roman" w:eastAsia="Times New Roman" w:hAnsi="Times New Roman"/>
                <w:sz w:val="18"/>
                <w:szCs w:val="18"/>
                <w:color w:val="auto"/>
                <w:highlight w:val="white"/>
                <w:w w:val="92"/>
              </w:rPr>
              <w:t>)</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color w:val="auto"/>
                <w:highlight w:val="white"/>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provision</w:t>
            </w:r>
          </w:p>
        </w:tc>
        <w:tc>
          <w:tcPr>
            <w:tcW w:w="5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(78 )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-187960</wp:posOffset>
            </wp:positionV>
            <wp:extent cx="34290"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material components of the deferred tax assets and liabilities consisted of net operating loss carry-forwards and tax credit carry-forwards.</w:t>
      </w:r>
    </w:p>
    <w:p>
      <w:pPr>
        <w:spacing w:after="0" w:line="35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8"/>
                <w:szCs w:val="18"/>
                <w:color w:val="auto"/>
              </w:rPr>
            </w:pPr>
          </w:p>
        </w:tc>
      </w:tr>
      <w:tr>
        <w:trPr>
          <w:trHeight w:val="37"/>
        </w:trPr>
        <w:tc>
          <w:tcPr>
            <w:tcW w:w="5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13"/>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0"/>
        </w:trPr>
        <w:tc>
          <w:tcPr>
            <w:tcW w:w="5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4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write-down and other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20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174 Costs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(1,576 )</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(818 )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0"/>
                <w:szCs w:val="20"/>
                <w:color w:val="auto"/>
              </w:rPr>
            </w:pPr>
          </w:p>
        </w:tc>
      </w:tr>
      <w:tr>
        <w:trPr>
          <w:trHeight w:val="24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and credits carry forwards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49,647</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42,949</w:t>
            </w:r>
          </w:p>
        </w:tc>
        <w:tc>
          <w:tcPr>
            <w:tcW w:w="80" w:type="dxa"/>
            <w:vAlign w:val="bottom"/>
          </w:tcPr>
          <w:p>
            <w:pPr>
              <w:spacing w:after="0"/>
              <w:rPr>
                <w:sz w:val="20"/>
                <w:szCs w:val="20"/>
                <w:color w:val="auto"/>
              </w:rPr>
            </w:pPr>
          </w:p>
        </w:tc>
      </w:tr>
      <w:tr>
        <w:trPr>
          <w:trHeight w:val="248"/>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assets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82,674</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69,314</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(82,674 )</w:t>
            </w:r>
          </w:p>
        </w:tc>
        <w:tc>
          <w:tcPr>
            <w:tcW w:w="1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(69,314 )</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(45,494 )</w:t>
            </w:r>
          </w:p>
        </w:tc>
      </w:tr>
      <w:tr>
        <w:trPr>
          <w:trHeight w:val="283"/>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valuation allowance increased by $13.1 million for the year ended December 31, 2022.</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657" w:right="859" w:bottom="1440" w:gutter="0" w:footer="0" w:header="0"/>
        </w:sectPr>
      </w:pPr>
    </w:p>
    <w:bookmarkStart w:id="77" w:name="page78"/>
    <w:bookmarkEnd w:id="77"/>
    <w:p>
      <w:pPr>
        <w:ind w:left="520"/>
        <w:spacing w:after="0"/>
        <w:rPr>
          <w:sz w:val="20"/>
          <w:szCs w:val="20"/>
          <w:color w:val="auto"/>
        </w:rPr>
      </w:pPr>
      <w:r>
        <w:rPr>
          <w:rFonts w:ascii="Times New Roman" w:cs="Times New Roman" w:eastAsia="Times New Roman" w:hAnsi="Times New Roman"/>
          <w:sz w:val="18"/>
          <w:szCs w:val="18"/>
          <w:color w:val="auto"/>
        </w:rPr>
        <w:t>A reconciliation of the Company’s effective tax rate to the statutory U.S. federal rate is as follows: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20" w:type="dxa"/>
            <w:vAlign w:val="bottom"/>
          </w:tcPr>
          <w:p>
            <w:pPr>
              <w:spacing w:after="0"/>
              <w:rPr>
                <w:sz w:val="22"/>
                <w:szCs w:val="22"/>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3"/>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Rate</w:t>
            </w:r>
          </w:p>
        </w:tc>
        <w:tc>
          <w:tcPr>
            <w:tcW w:w="80" w:type="dxa"/>
            <w:vAlign w:val="bottom"/>
            <w:shd w:val="clear" w:color="auto" w:fill="CCEEFF"/>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 excess tax expense</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(88.6 )</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(79.0 )</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 and others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-848360</wp:posOffset>
            </wp:positionV>
            <wp:extent cx="2408555"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0855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-179070</wp:posOffset>
            </wp:positionV>
            <wp:extent cx="5700395"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reported amount of income tax expense differs from an expected amount based on statutory rates primarily due to the Company’s valuation allowance.</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and 2021, based on the available objective evidence, management believes it is more likely than not that the net deferred tax assets will not be realized. Accordingly, management has applied a full valuation allowance against its net deferred tax assets at December 31, 2022 and 2021.</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2022 and 2021, the Company has federal net operating loss carry-forwards of approximately $213.3 million and $259.6 million, respectively, and state net operating loss carry-forwards of approximately $65.3 million and $64.5 million, respectively. At December 31, 2022 and 2021, the Company has net operating loss carryforwards for foreign income tax purposes of approximately $1.7 million and $2.3 million, respectively. These federal, state, and foreign net operating loss carry-forwards will expire beginning in 2025, 2028, and 2028, respectively.</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2022 and 2021, the Company also has federal research and development tax credit carry-forwards of approximately $3.9 million and $3.9 million, respectively, and state research and development tax credit carry-forwards of approximately $3.6 million and $3.6 million, respectively. The federal tax credits begin to expire in 2025, and the California tax credits carry forward indefinitely.</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Utilization of the net operating loss carry-forwards and credits may be subject to a substantial annual limitation due to the ownership change limitations provided by the Internal Revenue Code of 1986, as amended (“the Code”), and similar state provisions. The annual limitation may result in the expiration of net operating losses and credits before utilization.</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2022 and 2021, the Company had $2.3 million and $2.4 million of total unrecognized tax benefits. The Company currently has a full valuation allowance against its net deferred tax assets which would impact the timing of the effective tax rate benefit should any of these uncertain tax positions be favorably settled in the future. If the Company is able to eventually recognize these uncertain tax positions, none of the unrecognized benefit would reduce the Company’s effective tax rate due to full valuation allowance of the Company’s deferred tax assets. The Company’s policy is to record interest and penalties related to unrecognized tax benefits as income tax expense. During the years ended December 31, 2022 and 2021, the Company had immaterial amounts related to the accrual of interest and penalties.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unrecognized tax benefit amount is as follows: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2,431</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balance related to tax position taken during prior</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periods</w:t>
            </w:r>
          </w:p>
        </w:tc>
        <w:tc>
          <w:tcPr>
            <w:tcW w:w="740" w:type="dxa"/>
            <w:vAlign w:val="bottom"/>
          </w:tcPr>
          <w:p>
            <w:pPr>
              <w:spacing w:after="0"/>
              <w:rPr>
                <w:sz w:val="20"/>
                <w:szCs w:val="20"/>
                <w:color w:val="auto"/>
              </w:rPr>
            </w:pP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balance related to tax position taken during the</w:t>
            </w:r>
          </w:p>
        </w:tc>
        <w:tc>
          <w:tcPr>
            <w:tcW w:w="740" w:type="dxa"/>
            <w:vAlign w:val="bottom"/>
            <w:shd w:val="clear" w:color="auto" w:fill="CFF0FC"/>
          </w:tcPr>
          <w:p>
            <w:pPr>
              <w:spacing w:after="0"/>
              <w:rPr>
                <w:sz w:val="18"/>
                <w:szCs w:val="18"/>
                <w:color w:val="auto"/>
              </w:rPr>
            </w:pPr>
          </w:p>
        </w:tc>
        <w:tc>
          <w:tcPr>
            <w:tcW w:w="62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(129 )</w:t>
            </w:r>
          </w:p>
        </w:tc>
        <w:tc>
          <w:tcPr>
            <w:tcW w:w="360" w:type="dxa"/>
            <w:vAlign w:val="bottom"/>
            <w:shd w:val="clear" w:color="auto" w:fill="CFF0FC"/>
          </w:tcPr>
          <w:p>
            <w:pPr>
              <w:spacing w:after="0"/>
              <w:rPr>
                <w:sz w:val="18"/>
                <w:szCs w:val="18"/>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period</w:t>
            </w:r>
          </w:p>
        </w:tc>
        <w:tc>
          <w:tcPr>
            <w:tcW w:w="740" w:type="dxa"/>
            <w:vAlign w:val="bottom"/>
            <w:shd w:val="clear" w:color="auto" w:fill="CFF0FC"/>
          </w:tcPr>
          <w:p>
            <w:pPr>
              <w:spacing w:after="0"/>
              <w:rPr>
                <w:sz w:val="20"/>
                <w:szCs w:val="20"/>
                <w:color w:val="auto"/>
              </w:rPr>
            </w:pPr>
          </w:p>
        </w:tc>
        <w:tc>
          <w:tcPr>
            <w:tcW w:w="62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2,302</w:t>
            </w:r>
          </w:p>
        </w:tc>
        <w:tc>
          <w:tcPr>
            <w:tcW w:w="2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5143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have any tax positions for which it is reasonably possible the total amount of gross unrecognized tax benefits will increase or decrease within 12 months of the years ended December 31, 2022 and 2021.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state, local, and foreign jurisdictions, where applicable. Due to the Company’s net losses, its federal, state and local, and foreign tax returns since inception are subject to audit.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401(k) Plan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has a 401(k) retirement plan for the U.S. based employees that qualifies as a defined contribution plan. All U.S. based employees are eligible to participate on the first day of the month following their hire date with the Company. Under the defined contribution plan, employees may contribute up to the lesser of 90% of their pre-tax salaries per year or the maximum contribution allowed under the Code. The Company may make discretionary matching contributions, if deferral contributions are made by the employees. The Company’s matching contributions for the years ended December 31, 2022, 2021, and 2020 resulted in expense of $1.3 million, $1.0 million, and $0.6 million respectively.</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other eligible employees outside of the U.S. receive retirement benefits under various statutory plans.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 and Operations by Geographic Area</w:t>
      </w:r>
    </w:p>
    <w:p>
      <w:pPr>
        <w:spacing w:after="0" w:line="229" w:lineRule="exact"/>
        <w:rPr>
          <w:sz w:val="20"/>
          <w:szCs w:val="20"/>
          <w:color w:val="auto"/>
        </w:rPr>
      </w:pPr>
    </w:p>
    <w:p>
      <w:pPr>
        <w:jc w:val="both"/>
        <w:ind w:right="640"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design, development, and sale of silicon timing systems solutions. The chief operating decision maker, for the Company is the Chief Executive Officer. The Company’s Chief Executive Officer reviews operating results on an aggregate basis and manages the Company’s operations as a whole for the purpose of evaluating financial performance and allocating resources. Accordingly, the Company has determined that it has a single reportable and operating segment structure.</w:t>
      </w:r>
    </w:p>
    <w:p>
      <w:pPr>
        <w:spacing w:after="0" w:line="18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Revenue by geographic area are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7"/>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50"/>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101,849</w:t>
            </w:r>
          </w:p>
        </w:tc>
        <w:tc>
          <w:tcPr>
            <w:tcW w:w="480" w:type="dxa"/>
            <w:vAlign w:val="bottom"/>
            <w:tcBorders>
              <w:bottom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66,390</w:t>
            </w:r>
          </w:p>
        </w:tc>
        <w:tc>
          <w:tcPr>
            <w:tcW w:w="440" w:type="dxa"/>
            <w:vAlign w:val="bottom"/>
            <w:tcBorders>
              <w:bottom w:val="single" w:sz="8" w:color="CFF0FC"/>
            </w:tcBorders>
            <w:gridSpan w:val="3"/>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14,221</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89,077</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8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283,605</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218,808</w:t>
            </w:r>
          </w:p>
        </w:tc>
        <w:tc>
          <w:tcPr>
            <w:tcW w:w="200" w:type="dxa"/>
            <w:vAlign w:val="bottom"/>
            <w:tcBorders>
              <w:bottom w:val="single" w:sz="8" w:color="CFF0FC"/>
            </w:tcBorders>
            <w:gridSpan w:val="2"/>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116,156</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-1126490</wp:posOffset>
            </wp:positionV>
            <wp:extent cx="2369820" cy="2527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369820" cy="25273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1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total property and equipment attributable to operations by country for countries with 10% or more of the Company’s net property and equipment as of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11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1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4"/>
        </w:trPr>
        <w:tc>
          <w:tcPr>
            <w:tcW w:w="11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2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86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3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34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4"/>
        </w:trPr>
        <w:tc>
          <w:tcPr>
            <w:tcW w:w="1140" w:type="dxa"/>
            <w:vAlign w:val="bottom"/>
          </w:tcPr>
          <w:p>
            <w:pPr>
              <w:spacing w:after="0"/>
              <w:rPr>
                <w:sz w:val="22"/>
                <w:szCs w:val="22"/>
                <w:color w:val="auto"/>
              </w:rPr>
            </w:pPr>
          </w:p>
        </w:tc>
        <w:tc>
          <w:tcPr>
            <w:tcW w:w="2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58,772</w:t>
            </w:r>
          </w:p>
        </w:tc>
        <w:tc>
          <w:tcPr>
            <w:tcW w:w="2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37,902</w:t>
            </w:r>
          </w:p>
        </w:tc>
        <w:tc>
          <w:tcPr>
            <w:tcW w:w="80" w:type="dxa"/>
            <w:vAlign w:val="bottom"/>
            <w:tcBorders>
              <w:bottom w:val="single" w:sz="8" w:color="CFF0FC"/>
            </w:tcBorders>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628"/>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4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-521970</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-504825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-521970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entered into an agreement with MegaChips Corporation ("MegaChips"), whereby the Company appointed MegaChips as a non-exclusive sales representative of its products in Japan. The Company sold products through MegaChips to distributors, resellers, or direct customers in Japan. The Company paid MegaChips a fixed percentage of the revenue as sales commission, which was recorded as commission expense and included in sales and marketing in the consolidated statements of operations and comprehensive loss. In connection with the Company's efforts to contract directly with distributors in Japan, the Company entered into a termination agreement with MegaChips pursuant to which the Company and MegaChips mutually terminated the Distribution Agreement effective November 3, 2021.</w:t>
      </w:r>
    </w:p>
    <w:p>
      <w:pPr>
        <w:spacing w:after="0" w:line="79"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entered into a service and secondment agreement with MegaChips LSI USA Corporation, a wholly owned subsidiary of MegaChips, in 2020 that terminated on August 31, 2021.</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MegaChips has been the largest stockholder of the Company and held approximately 23.0% and 24.0% of the Company’s outstanding common stock as of December 31, 2022 and December 31, 2021, respectively.</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May 2021, the Company signed a consulting agreement with Akira Takata, a member of the Board of Directors of the Company. As a consultant, Mr. Takata provided sales consulting services through December 31, 2021, for which he received monthly cash fees of $5,000, reimbursement of expenses, and an equity award of 500 RSUs that fully vested on November 20, 2021. In December 2021, the Company signed an amendment to extend the consulting agreement with Akira Takata through December 31, 2022, for which he received monthly cash fees, reimbursement of expenses, and an equity award of 300 RSUs that fully vested on November 20, 2022.</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significant balances, transactions and payments with the related parties and affiliates.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4460" w:type="dxa"/>
            <w:vAlign w:val="bottom"/>
            <w:gridSpan w:val="3"/>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Transactions</w:t>
            </w:r>
          </w:p>
        </w:tc>
        <w:tc>
          <w:tcPr>
            <w:tcW w:w="220" w:type="dxa"/>
            <w:vAlign w:val="bottom"/>
          </w:tcPr>
          <w:p>
            <w:pPr>
              <w:spacing w:after="0"/>
              <w:rPr>
                <w:sz w:val="15"/>
                <w:szCs w:val="15"/>
                <w:color w:val="auto"/>
              </w:rPr>
            </w:pPr>
          </w:p>
        </w:tc>
        <w:tc>
          <w:tcPr>
            <w:tcW w:w="7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MegaChips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through distribution agreement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80" w:type="dxa"/>
            <w:vAlign w:val="bottom"/>
          </w:tcPr>
          <w:p>
            <w:pPr>
              <w:spacing w:after="0"/>
              <w:rPr>
                <w:sz w:val="20"/>
                <w:szCs w:val="20"/>
                <w:color w:val="auto"/>
              </w:rPr>
            </w:pPr>
          </w:p>
        </w:tc>
      </w:tr>
      <w:tr>
        <w:trPr>
          <w:trHeight w:val="247"/>
        </w:trPr>
        <w:tc>
          <w:tcPr>
            <w:tcW w:w="4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expense</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FF0FC"/>
          </w:tcPr>
          <w:p>
            <w:pPr>
              <w:spacing w:after="0"/>
              <w:rPr>
                <w:sz w:val="21"/>
                <w:szCs w:val="21"/>
                <w:color w:val="auto"/>
              </w:rPr>
            </w:pPr>
          </w:p>
        </w:tc>
      </w:tr>
      <w:tr>
        <w:trPr>
          <w:trHeight w:val="23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Commission expense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0"/>
                <w:szCs w:val="20"/>
                <w:color w:val="auto"/>
              </w:rPr>
            </w:pPr>
          </w:p>
        </w:tc>
      </w:tr>
      <w:tr>
        <w:trPr>
          <w:trHeight w:val="247"/>
        </w:trPr>
        <w:tc>
          <w:tcPr>
            <w:tcW w:w="4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0"/>
                <w:szCs w:val="20"/>
                <w:color w:val="auto"/>
              </w:rPr>
            </w:pPr>
          </w:p>
        </w:tc>
      </w:tr>
      <w:tr>
        <w:trPr>
          <w:trHeight w:val="400"/>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4460" w:type="dxa"/>
            <w:vAlign w:val="bottom"/>
            <w:gridSpan w:val="3"/>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Payments</w:t>
            </w:r>
          </w:p>
        </w:tc>
        <w:tc>
          <w:tcPr>
            <w:tcW w:w="220" w:type="dxa"/>
            <w:vAlign w:val="bottom"/>
          </w:tcPr>
          <w:p>
            <w:pPr>
              <w:spacing w:after="0"/>
              <w:rPr>
                <w:sz w:val="15"/>
                <w:szCs w:val="15"/>
                <w:color w:val="auto"/>
              </w:rPr>
            </w:pPr>
          </w:p>
        </w:tc>
        <w:tc>
          <w:tcPr>
            <w:tcW w:w="7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MegaChips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for commissions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0"/>
                <w:szCs w:val="20"/>
                <w:color w:val="auto"/>
              </w:rPr>
            </w:pPr>
          </w:p>
        </w:tc>
      </w:tr>
      <w:tr>
        <w:trPr>
          <w:trHeight w:val="247"/>
        </w:trPr>
        <w:tc>
          <w:tcPr>
            <w:tcW w:w="4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licenses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21"/>
                <w:szCs w:val="21"/>
                <w:color w:val="auto"/>
              </w:rPr>
            </w:pPr>
          </w:p>
        </w:tc>
      </w:tr>
      <w:tr>
        <w:trPr>
          <w:trHeight w:val="241"/>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4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consulting fees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FF0FC"/>
          </w:tcPr>
          <w:p>
            <w:pPr>
              <w:spacing w:after="0"/>
              <w:rPr>
                <w:sz w:val="21"/>
                <w:szCs w:val="2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Inducement Plan</w:t>
      </w:r>
    </w:p>
    <w:p>
      <w:pPr>
        <w:spacing w:after="0" w:line="3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21, 2023, the Compensation Committee of the Board of Directors of SiTime (the “Committee”) approved an amendment and restatement of the SiTime Corporation 2022 Inducement Award Plan (the “Inducement Plan”). The Inducement Plan provides for the grant of equity or equity-based awards in the form of non-qualified stock options, restricted stock units, and other stock-based awards. The Inducement Plan’s terms are substantially similar to the terms of SiTime’s 2019 Stock Incentive Plan, with the addition of certain terms and conditions intended to comply with the Nasdaq inducement award exception. The Inducement Plan was adopted by the Committee without stockholder approval pursuant to Rule 5635(c)(4) of the Nasdaq Listing Rules.</w:t>
      </w:r>
    </w:p>
    <w:p>
      <w:pPr>
        <w:spacing w:after="0" w:line="29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Committee amended and restated the Inducement Plan to increase the reserve by 250,000 shares of SiTime’s common stock for issuance pursuant to awards granted under the Inducement Plan (subject to customary adjustments in the event of a change in capital structure of SiTime). Awards under the Inducement Plan may be granted only to individuals who were not previously employees or directors of SiTime, or following a bona fide period of non-employment with SiTime, who satisfy the standards for inducement grants under Rule 5635(c)(4) of the Nasdaq Listing Rules, and only when the award is an inducement material to such individual’s entering into employment with SiTime, its subsidiaries or its affiliates within the meaning of Rule 5635(c)(4) of the Nasdaq Listing Rules.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 Attestation Report of the Registered Public Accounting Firm.</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 as of December 31, 2022 based on the criteria established in Internal Control - Integrated Framework (2013) issued by the Committee of Sponsoring Organizations of the Treadway Commission, or COSO. Based on our evaluation under the criteria set forth in Internal Control - Integrated Framework (2013) issued by the COSO, our management concluded our internal control over financial reporting was effective as of December 31, 2022.</w:t>
      </w:r>
    </w:p>
    <w:p>
      <w:pPr>
        <w:spacing w:after="0" w:line="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2022 has been audited by BDO USA, LLP, an independent registered public accounting firm, as stated in their report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SiTime Corporation’s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2022, based on the COSO criteria</w:t>
      </w:r>
      <w:r>
        <w:rPr>
          <w:rFonts w:ascii="Times New Roman" w:cs="Times New Roman" w:eastAsia="Times New Roman" w:hAnsi="Times New Roman"/>
          <w:sz w:val="18"/>
          <w:szCs w:val="18"/>
          <w:i w:val="1"/>
          <w:iCs w:val="1"/>
          <w:color w:val="auto"/>
        </w:rPr>
        <w: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and comprehensive income (loss), stockholders’ equity, and cash flows for each of the three years in the period ended December 31, 2022, and the related notes and financial statement schedule listed in the accompanying index and our report dated February 27, 2023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Inducement Plan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21, 2023, the Compensation Committee of the Board of Directors of SiTime (the “Committee”) approved an amendment and restatement of the SiTime Corporation 2022 Inducement Award Plan (the “Inducement Plan”). The Inducement Plan provides for the grant of equity or equity-based awards in the form of non-qualified stock options, restricted stock units, and other stock-based awards. The Inducement Plan’s terms are substantially similar to the terms of SiTime’s 2019 Stock Incentive Plan, with the addition of certain terms and conditions intended to comply with the Nasdaq inducement award exception. The Inducement Plan was adopted by the Committee without stockholder approval pursuant to Rule 5635(c)(4) of the Nasdaq Listing Rules.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Committee amended and restated the Inducement Plan to increase the reserve by 250,000 shares of SiTime’s common stock for issuance pursuant to awards granted under the Inducement Plan (subject to customary adjustments in the event of a change in capital structure of SiTime). Awards under the Inducement Plan may be granted only to employees who satisfy the standards for inducement grants under Rule 5635(c)(4) of the Nasdaq Listing Rules, and only when the award is an inducement material to such individual’s entering into employment with SiTime, its subsidiaries or its affiliates within the meaning of Rule 5635(c)(4) of the Nasdaq Listing Rules.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“Election of Directors – Directors and Nominees” and “Election of Directors – Executive Officers, Directors and Director Nominees” in our definitive proxy statement to be filed with the SEC, in connection with our 2023 annual meeting of stockholders (the “Proxy Statement”), which is expected to be filed not later than 120 days after the end of our fiscal year ended December 31, 2022, and is incorporated in this report by reference.</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Section 16(a) beneficial reporting compliance, if any, will be set forth under the section entitled “Delinquent Section 16(a) Reports” in the Proxy Statement and is incorporated herein by reference.</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and employees, including our chief executive officer, chief financial officer, corporate controller, and other employees who perform financial or accounting functions. The Code of Business Conduct and Ethics sets forth the basic principles that guide the business conduct of our employees and is available on our website at www.sitime.com. We have also adopted a Code of Ethics for Senior Financial Officers that specifically applies to our chief executive officer (our principal executive officer) and chief financial officer (our principal financial officer and principal accounting officer). Stockholders may request a free copy of our Code of Ethics for Senior Financial Officers by contacting us at SiTime Corporation, Attention: Investor Relations, 5451 Patrick Henry Drive, Santa Clara, California 95054.</w:t>
      </w:r>
    </w:p>
    <w:p>
      <w:pPr>
        <w:spacing w:after="0" w:line="18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To date, there have been no waivers under our Code of Business Conduct and Ethics or Code of Ethics for Senior Financial Officers. We will disclose on our website amendments to, or waivers from, our Code of Business Conduct and Ethics, in accordance with applicable laws and regulations.</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information concerning our Audit Committee and Audit Committee financial expert is incorporated by reference herein to the information set forth under the caption “Corporate Governance – Board Committee – Audit Committee” in our Proxy Statement.</w:t>
      </w:r>
    </w:p>
    <w:p>
      <w:pPr>
        <w:spacing w:after="0" w:line="162"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procedures by which stockholders may recommend nominees to our board of directors is set forth under the caption “Corporate Governance - Director Nominations”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“Executive Compensation,” “Non-Employee Director Compensation,” "Corporate Governance," "Compensation Committee Interlocks and Insider Participation," and "Compensation Committee Report" in the Proxy Statement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“Security Ownership of Certain Beneficial Owners and Management” and “Equity Compensation Plan Information,” in the Proxy Statement and is incorporated herein by reference.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2022. Information is included for equity compensation plans approved by our stockholders as well as our 2022 Inducement Award Plan (the “Inducement Plan”) adopted by our compensation committee without approval of our stockholders. The Inducement Plan provides for the grant of equity or equity-based awards in the form of non-qualified stock options, restricted stock units, and other stock-based awards. The Inducement Plan’s terms are substantially similar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4" w:name="page85"/>
    <w:bookmarkEnd w:id="84"/>
    <w:p>
      <w:pPr>
        <w:ind w:right="360"/>
        <w:spacing w:after="0" w:line="261" w:lineRule="auto"/>
        <w:rPr>
          <w:sz w:val="20"/>
          <w:szCs w:val="20"/>
          <w:color w:val="auto"/>
        </w:rPr>
      </w:pPr>
      <w:r>
        <w:rPr>
          <w:rFonts w:ascii="Times New Roman" w:cs="Times New Roman" w:eastAsia="Times New Roman" w:hAnsi="Times New Roman"/>
          <w:sz w:val="18"/>
          <w:szCs w:val="18"/>
          <w:color w:val="auto"/>
        </w:rPr>
        <w:t>to the terms of SiTime’s 2019 Stock Incentive Plan, with the addition of certain terms and conditions intended to comply with the Nasdaq inducement award exception. Awards under the Inducement Plan may be granted only to employees who satisfy the standards for inducement grants under Rule 5635(c)(4) of the Nasdaq Listing Rules, and only when the award is an inducement material to such individual’s entering into employment with us, our subsidiaries or our affiliates within the meaning of Rule 5635(c)(4) of the Nasdaq Listing Rules.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 Available for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2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 Equity Compensation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2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220" w:type="dxa"/>
            <w:vAlign w:val="bottom"/>
          </w:tcPr>
          <w:p>
            <w:pPr>
              <w:spacing w:after="0"/>
              <w:rPr>
                <w:sz w:val="12"/>
                <w:szCs w:val="12"/>
                <w:color w:val="auto"/>
              </w:rPr>
            </w:pPr>
          </w:p>
        </w:tc>
        <w:tc>
          <w:tcPr>
            <w:tcW w:w="15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2"/>
                <w:szCs w:val="12"/>
                <w:color w:val="auto"/>
              </w:rPr>
            </w:pPr>
          </w:p>
        </w:tc>
        <w:tc>
          <w:tcPr>
            <w:tcW w:w="2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Plans (Excluding Securities Reflected in the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6"/>
                <w:szCs w:val="16"/>
                <w:color w:val="auto"/>
              </w:rPr>
            </w:pPr>
          </w:p>
        </w:tc>
        <w:tc>
          <w:tcPr>
            <w:tcW w:w="1520" w:type="dxa"/>
            <w:vAlign w:val="bottom"/>
            <w:tcBorders>
              <w:bottom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Warrants and Rights</w:t>
            </w:r>
            <w:r>
              <w:rPr>
                <w:rFonts w:ascii="Times New Roman" w:cs="Times New Roman" w:eastAsia="Times New Roman" w:hAnsi="Times New Roman"/>
                <w:sz w:val="19"/>
                <w:szCs w:val="19"/>
                <w:b w:val="1"/>
                <w:bCs w:val="1"/>
                <w:color w:val="auto"/>
                <w:w w:val="98"/>
                <w:vertAlign w:val="superscript"/>
              </w:rPr>
              <w:t>(1)</w:t>
            </w:r>
          </w:p>
        </w:tc>
        <w:tc>
          <w:tcPr>
            <w:tcW w:w="220" w:type="dxa"/>
            <w:vAlign w:val="bottom"/>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first Column)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w w:val="99"/>
              </w:rPr>
              <w:t>Equity compensation plans approved by stockholders</w:t>
            </w:r>
            <w:r>
              <w:rPr>
                <w:rFonts w:ascii="Times New Roman" w:cs="Times New Roman" w:eastAsia="Times New Roman" w:hAnsi="Times New Roman"/>
                <w:sz w:val="24"/>
                <w:szCs w:val="24"/>
                <w:color w:val="auto"/>
                <w:w w:val="99"/>
                <w:vertAlign w:val="superscript"/>
              </w:rPr>
              <w:t>(1)</w:t>
            </w:r>
          </w:p>
        </w:tc>
        <w:tc>
          <w:tcPr>
            <w:tcW w:w="1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1,867,071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221,749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40" w:type="dxa"/>
            <w:vAlign w:val="bottom"/>
            <w:vMerge w:val="restart"/>
            <w:shd w:val="clear" w:color="auto" w:fill="CFF0FC"/>
          </w:tcPr>
          <w:p>
            <w:pPr>
              <w:ind w:left="20"/>
              <w:spacing w:after="0" w:line="255" w:lineRule="exact"/>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4"/>
                <w:szCs w:val="24"/>
                <w:color w:val="auto"/>
                <w:vertAlign w:val="superscript"/>
              </w:rPr>
              <w:t>(2)</w:t>
            </w:r>
          </w:p>
        </w:tc>
        <w:tc>
          <w:tcPr>
            <w:tcW w:w="2180" w:type="dxa"/>
            <w:vAlign w:val="bottom"/>
            <w:gridSpan w:val="2"/>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80" w:type="dxa"/>
            <w:vAlign w:val="bottom"/>
            <w:vMerge w:val="continue"/>
            <w:shd w:val="clear" w:color="auto" w:fill="CFF0FC"/>
          </w:tcPr>
          <w:p>
            <w:pPr>
              <w:spacing w:after="0"/>
              <w:rPr>
                <w:sz w:val="11"/>
                <w:szCs w:val="11"/>
                <w:color w:val="auto"/>
              </w:rPr>
            </w:pPr>
          </w:p>
        </w:tc>
        <w:tc>
          <w:tcPr>
            <w:tcW w:w="318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40" w:type="dxa"/>
            <w:vAlign w:val="bottom"/>
            <w:tcBorders>
              <w:bottom w:val="single" w:sz="8" w:color="CFF0FC"/>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206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38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29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2,088,820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782,040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-187960</wp:posOffset>
            </wp:positionV>
            <wp:extent cx="77470"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6858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65" w:lineRule="exact"/>
        <w:rPr>
          <w:sz w:val="20"/>
          <w:szCs w:val="20"/>
          <w:color w:val="auto"/>
        </w:rPr>
      </w:pPr>
    </w:p>
    <w:p>
      <w:pPr>
        <w:jc w:val="both"/>
        <w:ind w:left="760" w:hanging="378"/>
        <w:spacing w:after="0" w:line="233" w:lineRule="auto"/>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solely of our 2019 Stock Incentive Plan (the “2019 Stock Plan”). The 2019 Stock Plan contains an “evergreen” provision, pursuant to which the number of shares of common stock reserved for issuance pursuant to awards under such plan shall be increased on the first day of each year beginning in 2020, equal to the lesser of (i) 3% of the number of shares of common stock outstanding on the last day of the immediately preceding year, or (ii) if our Board acts prior to the first day of the year, such lesser amount that our Board determines for purposes of the annual increase of the year such number as determined by the plan administrator. As of January 1, 2023, the 2019 Stock Plan was increased by 651,048 shares pursuant to such evergreen provision. We have only granted RSUs from the 2019 Stock Plan, which have no exercise price.</w:t>
      </w:r>
    </w:p>
    <w:p>
      <w:pPr>
        <w:spacing w:after="0" w:line="69"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solely of our Inducement Plan. We have only granted RSUs from the Inducement Plan, which have no exercise price.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“Certain Relationships and Related Person Transactions” and “Corporate Governance — Director Independence” in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“Ratification of the Appointment of Independent Registered Public Accountants — Principal Accounting Fees and Services” in the Proxy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5" w:name="page86"/>
    <w:bookmarkEnd w:id="85"/>
    <w:tbl>
      <w:tblPr>
        <w:tblLayout w:type="fixed"/>
        <w:tblInd w:w="1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60" w:type="dxa"/>
            <w:vAlign w:val="bottom"/>
          </w:tcPr>
          <w:p>
            <w:pPr>
              <w:spacing w:after="0"/>
              <w:rPr>
                <w:sz w:val="20"/>
                <w:szCs w:val="20"/>
                <w:color w:val="auto"/>
              </w:rPr>
            </w:pPr>
          </w:p>
        </w:tc>
      </w:tr>
      <w:tr>
        <w:trPr>
          <w:trHeight w:val="432"/>
        </w:trPr>
        <w:tc>
          <w:tcPr>
            <w:tcW w:w="102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960" w:type="dxa"/>
            <w:vAlign w:val="bottom"/>
          </w:tcPr>
          <w:p>
            <w:pPr>
              <w:spacing w:after="0"/>
              <w:rPr>
                <w:sz w:val="24"/>
                <w:szCs w:val="24"/>
                <w:color w:val="auto"/>
              </w:rPr>
            </w:pPr>
          </w:p>
        </w:tc>
      </w:tr>
      <w:tr>
        <w:trPr>
          <w:trHeight w:val="324"/>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w:t>
            </w:r>
          </w:p>
        </w:tc>
        <w:tc>
          <w:tcPr>
            <w:tcW w:w="938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 on Form 10-K:</w:t>
            </w:r>
          </w:p>
        </w:tc>
        <w:tc>
          <w:tcPr>
            <w:tcW w:w="960" w:type="dxa"/>
            <w:vAlign w:val="bottom"/>
          </w:tcPr>
          <w:p>
            <w:pPr>
              <w:spacing w:after="0"/>
              <w:rPr>
                <w:sz w:val="24"/>
                <w:szCs w:val="24"/>
                <w:color w:val="auto"/>
              </w:rPr>
            </w:pPr>
          </w:p>
        </w:tc>
      </w:tr>
      <w:tr>
        <w:trPr>
          <w:trHeight w:val="283"/>
        </w:trPr>
        <w:tc>
          <w:tcPr>
            <w:tcW w:w="88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8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60" w:type="dxa"/>
            <w:vAlign w:val="bottom"/>
          </w:tcPr>
          <w:p>
            <w:pPr>
              <w:spacing w:after="0"/>
              <w:rPr>
                <w:sz w:val="24"/>
                <w:szCs w:val="24"/>
                <w:color w:val="auto"/>
              </w:rPr>
            </w:pPr>
          </w:p>
        </w:tc>
      </w:tr>
      <w:tr>
        <w:trPr>
          <w:trHeight w:val="20"/>
        </w:trPr>
        <w:tc>
          <w:tcPr>
            <w:tcW w:w="1540" w:type="dxa"/>
            <w:vAlign w:val="bottom"/>
            <w:gridSpan w:val="2"/>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25"/>
        </w:trPr>
        <w:tc>
          <w:tcPr>
            <w:tcW w:w="102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318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102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years ended December 31, 2022, 2021, and 2020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7660" w:type="dxa"/>
            <w:vAlign w:val="bottom"/>
            <w:tcBorders>
              <w:top w:val="single" w:sz="8" w:color="0000FF"/>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2022, 2021, and 2020</w:t>
            </w:r>
          </w:p>
        </w:tc>
        <w:tc>
          <w:tcPr>
            <w:tcW w:w="1820" w:type="dxa"/>
            <w:vAlign w:val="bottom"/>
            <w:tcBorders>
              <w:top w:val="single" w:sz="8" w:color="0000FF"/>
            </w:tcBorders>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69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3280" w:type="dxa"/>
            <w:vAlign w:val="bottom"/>
            <w:gridSpan w:val="3"/>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102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880" w:type="dxa"/>
            <w:vAlign w:val="bottom"/>
            <w:tcBorders>
              <w:left w:val="single" w:sz="8" w:color="0000EE"/>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79" w:lineRule="exact"/>
        <w:rPr>
          <w:sz w:val="20"/>
          <w:szCs w:val="20"/>
          <w:color w:val="auto"/>
        </w:rPr>
      </w:pPr>
    </w:p>
    <w:p>
      <w:pPr>
        <w:ind w:left="1540" w:hanging="514"/>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 (Valuation and Qualifying Accounts) for the years ended December 31, 2022, 2021, and 2020:</w:t>
      </w:r>
    </w:p>
    <w:p>
      <w:pPr>
        <w:spacing w:after="0" w:line="225"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Schedule II—Valuation and Qualifying Accounts</w:t>
            </w:r>
          </w:p>
        </w:tc>
        <w:tc>
          <w:tcPr>
            <w:tcW w:w="7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35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bl>
    <w:p>
      <w:pPr>
        <w:spacing w:after="0" w:line="265" w:lineRule="exact"/>
        <w:rPr>
          <w:sz w:val="20"/>
          <w:szCs w:val="20"/>
          <w:color w:val="auto"/>
        </w:rPr>
      </w:pPr>
    </w:p>
    <w:p>
      <w:pPr>
        <w:ind w:left="1540" w:hanging="514"/>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documents listed below are filed (or furnished, as noted) as exhibits to this Annual Report on 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6597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3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3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br w:type="column"/>
      </w:r>
    </w:p>
    <w:p>
      <w:pPr>
        <w:ind w:left="39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Exhibit/Appendix</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341"/>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2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w:t>
            </w:r>
          </w:p>
        </w:tc>
        <w:tc>
          <w:tcPr>
            <w:tcW w:w="100" w:type="dxa"/>
            <w:vAlign w:val="bottom"/>
          </w:tcPr>
          <w:p>
            <w:pPr>
              <w:spacing w:after="0"/>
              <w:rPr>
                <w:sz w:val="24"/>
                <w:szCs w:val="24"/>
                <w:color w:val="auto"/>
              </w:rPr>
            </w:pPr>
          </w:p>
        </w:tc>
        <w:tc>
          <w:tcPr>
            <w:tcW w:w="1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Reference</w:t>
            </w:r>
          </w:p>
        </w:tc>
        <w:tc>
          <w:tcPr>
            <w:tcW w:w="1280" w:type="dxa"/>
            <w:vAlign w:val="bottom"/>
            <w:vMerge w:val="restart"/>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04"/>
        </w:trPr>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gridSpan w:val="24"/>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90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Restated Certificate of Incorporation of</w:t>
              </w:r>
            </w:hyperlink>
          </w:p>
        </w:tc>
        <w:tc>
          <w:tcPr>
            <w:tcW w:w="42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SiTime Corporation</w:t>
              </w:r>
            </w:hyperlink>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80" w:type="dxa"/>
            <w:vAlign w:val="bottom"/>
            <w:gridSpan w:val="2"/>
          </w:tcPr>
          <w:p>
            <w:pPr>
              <w:jc w:val="center"/>
              <w:ind w:left="23"/>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1820" w:type="dxa"/>
            <w:vAlign w:val="bottom"/>
            <w:gridSpan w:val="2"/>
          </w:tcPr>
          <w:p>
            <w:pPr>
              <w:jc w:val="center"/>
              <w:ind w:left="124"/>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11/26/2019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00" w:type="dxa"/>
            <w:vAlign w:val="bottom"/>
            <w:tcBorders>
              <w:bottom w:val="single" w:sz="8" w:color="0000FF"/>
            </w:tcBorders>
            <w:gridSpan w:val="14"/>
          </w:tcPr>
          <w:p>
            <w:pPr>
              <w:ind w:left="20"/>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Amended and Restated Bylaws of the</w:t>
              </w:r>
            </w:hyperlink>
          </w:p>
        </w:tc>
        <w:tc>
          <w:tcPr>
            <w:tcW w:w="520" w:type="dxa"/>
            <w:vAlign w:val="bottom"/>
            <w:gridSpan w:val="12"/>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580" w:type="dxa"/>
            <w:vAlign w:val="bottom"/>
            <w:gridSpan w:val="2"/>
            <w:vMerge w:val="restart"/>
          </w:tcPr>
          <w:p>
            <w:pPr>
              <w:jc w:val="center"/>
              <w:ind w:left="23"/>
              <w:spacing w:after="0"/>
              <w:rPr>
                <w:sz w:val="20"/>
                <w:szCs w:val="20"/>
                <w:color w:val="auto"/>
              </w:rPr>
            </w:pPr>
            <w:r>
              <w:rPr>
                <w:rFonts w:ascii="Times New Roman" w:cs="Times New Roman" w:eastAsia="Times New Roman" w:hAnsi="Times New Roman"/>
                <w:sz w:val="20"/>
                <w:szCs w:val="20"/>
                <w:color w:val="auto"/>
                <w:w w:val="99"/>
              </w:rPr>
              <w:t>001-39135</w:t>
            </w:r>
          </w:p>
        </w:tc>
        <w:tc>
          <w:tcPr>
            <w:tcW w:w="1820" w:type="dxa"/>
            <w:vAlign w:val="bottom"/>
            <w:gridSpan w:val="2"/>
            <w:vMerge w:val="restart"/>
          </w:tcPr>
          <w:p>
            <w:pPr>
              <w:jc w:val="center"/>
              <w:ind w:left="124"/>
              <w:spacing w:after="0"/>
              <w:rPr>
                <w:sz w:val="20"/>
                <w:szCs w:val="20"/>
                <w:color w:val="auto"/>
              </w:rPr>
            </w:pPr>
            <w:r>
              <w:rPr>
                <w:rFonts w:ascii="Times New Roman" w:cs="Times New Roman" w:eastAsia="Times New Roman" w:hAnsi="Times New Roman"/>
                <w:sz w:val="20"/>
                <w:szCs w:val="20"/>
                <w:color w:val="auto"/>
                <w:w w:val="95"/>
              </w:rPr>
              <w:t>3.2</w:t>
            </w:r>
          </w:p>
        </w:tc>
        <w:tc>
          <w:tcPr>
            <w:tcW w:w="220" w:type="dxa"/>
            <w:vAlign w:val="bottom"/>
          </w:tcPr>
          <w:p>
            <w:pPr>
              <w:spacing w:after="0"/>
              <w:rPr>
                <w:sz w:val="24"/>
                <w:szCs w:val="2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6/29/2021</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20" w:type="dxa"/>
            <w:vAlign w:val="bottom"/>
            <w:gridSpan w:val="26"/>
          </w:tcPr>
          <w:p>
            <w:pPr>
              <w:ind w:left="20"/>
              <w:spacing w:after="0" w:line="182"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Company</w:t>
              </w:r>
            </w:hyperlink>
          </w:p>
        </w:tc>
        <w:tc>
          <w:tcPr>
            <w:tcW w:w="80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080" w:type="dxa"/>
            <w:vAlign w:val="bottom"/>
            <w:tcBorders>
              <w:bottom w:val="single" w:sz="8" w:color="0000FF"/>
            </w:tcBorders>
            <w:gridSpan w:val="22"/>
          </w:tcPr>
          <w:p>
            <w:pPr>
              <w:ind w:left="20"/>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Form of Common Stock Certificate of the</w:t>
              </w:r>
            </w:hyperlink>
          </w:p>
        </w:tc>
        <w:tc>
          <w:tcPr>
            <w:tcW w:w="240" w:type="dxa"/>
            <w:vAlign w:val="bottom"/>
            <w:gridSpan w:val="4"/>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580" w:type="dxa"/>
            <w:vAlign w:val="bottom"/>
            <w:gridSpan w:val="2"/>
            <w:vMerge w:val="restart"/>
          </w:tcPr>
          <w:p>
            <w:pPr>
              <w:jc w:val="center"/>
              <w:ind w:left="3"/>
              <w:spacing w:after="0"/>
              <w:rPr>
                <w:sz w:val="20"/>
                <w:szCs w:val="20"/>
                <w:color w:val="auto"/>
              </w:rPr>
            </w:pPr>
            <w:r>
              <w:rPr>
                <w:rFonts w:ascii="Times New Roman" w:cs="Times New Roman" w:eastAsia="Times New Roman" w:hAnsi="Times New Roman"/>
                <w:sz w:val="20"/>
                <w:szCs w:val="20"/>
                <w:color w:val="auto"/>
                <w:w w:val="99"/>
              </w:rPr>
              <w:t>333-234305</w:t>
            </w:r>
          </w:p>
        </w:tc>
        <w:tc>
          <w:tcPr>
            <w:tcW w:w="1820" w:type="dxa"/>
            <w:vAlign w:val="bottom"/>
            <w:gridSpan w:val="2"/>
            <w:vMerge w:val="restart"/>
          </w:tcPr>
          <w:p>
            <w:pPr>
              <w:jc w:val="center"/>
              <w:ind w:left="124"/>
              <w:spacing w:after="0"/>
              <w:rPr>
                <w:sz w:val="20"/>
                <w:szCs w:val="20"/>
                <w:color w:val="auto"/>
              </w:rPr>
            </w:pPr>
            <w:r>
              <w:rPr>
                <w:rFonts w:ascii="Times New Roman" w:cs="Times New Roman" w:eastAsia="Times New Roman" w:hAnsi="Times New Roman"/>
                <w:sz w:val="20"/>
                <w:szCs w:val="20"/>
                <w:color w:val="auto"/>
                <w:w w:val="95"/>
              </w:rPr>
              <w:t>4.1</w:t>
            </w:r>
          </w:p>
        </w:tc>
        <w:tc>
          <w:tcPr>
            <w:tcW w:w="220" w:type="dxa"/>
            <w:vAlign w:val="bottom"/>
          </w:tcPr>
          <w:p>
            <w:pPr>
              <w:spacing w:after="0"/>
              <w:rPr>
                <w:sz w:val="24"/>
                <w:szCs w:val="2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10/23/2019</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20" w:type="dxa"/>
            <w:vAlign w:val="bottom"/>
            <w:gridSpan w:val="26"/>
          </w:tcPr>
          <w:p>
            <w:pPr>
              <w:ind w:left="20"/>
              <w:spacing w:after="0" w:line="182"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Company</w:t>
              </w:r>
            </w:hyperlink>
          </w:p>
        </w:tc>
        <w:tc>
          <w:tcPr>
            <w:tcW w:w="80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80" w:type="dxa"/>
            <w:vAlign w:val="bottom"/>
            <w:tcBorders>
              <w:bottom w:val="single" w:sz="8" w:color="0000FF"/>
            </w:tcBorders>
            <w:gridSpan w:val="10"/>
          </w:tcPr>
          <w:p>
            <w:pPr>
              <w:ind w:left="20"/>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Description of Securities Registered</w:t>
              </w:r>
            </w:hyperlink>
          </w:p>
        </w:tc>
        <w:tc>
          <w:tcPr>
            <w:tcW w:w="640" w:type="dxa"/>
            <w:vAlign w:val="bottom"/>
            <w:gridSpan w:val="16"/>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Pursuant to Section 12 of the Securities</w:t>
              </w:r>
            </w:hyperlink>
          </w:p>
        </w:tc>
        <w:tc>
          <w:tcPr>
            <w:tcW w:w="42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Borders>
              <w:bottom w:val="single" w:sz="8" w:color="0000FF"/>
            </w:tcBorders>
            <w:gridSpan w:val="5"/>
          </w:tcPr>
          <w:p>
            <w:pPr>
              <w:ind w:left="20"/>
              <w:spacing w:after="0" w:line="196" w:lineRule="exact"/>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Exchange Act of 1934</w:t>
              </w:r>
            </w:hyperlink>
          </w:p>
        </w:tc>
        <w:tc>
          <w:tcPr>
            <w:tcW w:w="20" w:type="dxa"/>
            <w:vAlign w:val="bottom"/>
            <w:tcBorders>
              <w:bottom w:val="single" w:sz="8" w:color="0000EE"/>
            </w:tcBorders>
          </w:tcPr>
          <w:p>
            <w:pPr>
              <w:spacing w:after="0"/>
              <w:rPr>
                <w:sz w:val="17"/>
                <w:szCs w:val="17"/>
                <w:color w:val="auto"/>
              </w:rPr>
            </w:pPr>
          </w:p>
        </w:tc>
        <w:tc>
          <w:tcPr>
            <w:tcW w:w="1660" w:type="dxa"/>
            <w:vAlign w:val="bottom"/>
            <w:gridSpan w:val="20"/>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580" w:type="dxa"/>
            <w:vAlign w:val="bottom"/>
            <w:gridSpan w:val="2"/>
          </w:tcPr>
          <w:p>
            <w:pPr>
              <w:jc w:val="center"/>
              <w:ind w:left="23"/>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1820" w:type="dxa"/>
            <w:vAlign w:val="bottom"/>
            <w:gridSpan w:val="2"/>
          </w:tcPr>
          <w:p>
            <w:pPr>
              <w:jc w:val="center"/>
              <w:ind w:left="124"/>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2/16/2021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700" w:type="dxa"/>
            <w:vAlign w:val="bottom"/>
            <w:tcBorders>
              <w:bottom w:val="single" w:sz="8" w:color="0000FF"/>
            </w:tcBorders>
            <w:gridSpan w:val="11"/>
          </w:tcPr>
          <w:p>
            <w:pPr>
              <w:ind w:left="20"/>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Form of Indemnification Agreement</w:t>
              </w:r>
            </w:hyperlink>
          </w:p>
        </w:tc>
        <w:tc>
          <w:tcPr>
            <w:tcW w:w="62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FF"/>
            </w:tcBorders>
            <w:gridSpan w:val="24"/>
          </w:tcPr>
          <w:p>
            <w:pPr>
              <w:ind w:left="20"/>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between the Company and its directors and</w:t>
              </w:r>
            </w:hyperlink>
          </w:p>
        </w:tc>
        <w:tc>
          <w:tcPr>
            <w:tcW w:w="120" w:type="dxa"/>
            <w:vAlign w:val="bottom"/>
            <w:gridSpan w:val="2"/>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58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20"/>
                <w:szCs w:val="20"/>
                <w:color w:val="auto"/>
              </w:rPr>
              <w:t>001-39135</w:t>
            </w:r>
          </w:p>
        </w:tc>
        <w:tc>
          <w:tcPr>
            <w:tcW w:w="1820" w:type="dxa"/>
            <w:vAlign w:val="bottom"/>
            <w:gridSpan w:val="2"/>
            <w:vMerge w:val="restart"/>
          </w:tcPr>
          <w:p>
            <w:pPr>
              <w:jc w:val="right"/>
              <w:ind w:right="519"/>
              <w:spacing w:after="0"/>
              <w:rPr>
                <w:sz w:val="20"/>
                <w:szCs w:val="20"/>
                <w:color w:val="auto"/>
              </w:rPr>
            </w:pPr>
            <w:r>
              <w:rPr>
                <w:rFonts w:ascii="Times New Roman" w:cs="Times New Roman" w:eastAsia="Times New Roman" w:hAnsi="Times New Roman"/>
                <w:sz w:val="20"/>
                <w:szCs w:val="20"/>
                <w:color w:val="auto"/>
              </w:rPr>
              <w:t>10.1</w:t>
            </w:r>
          </w:p>
        </w:tc>
        <w:tc>
          <w:tcPr>
            <w:tcW w:w="220" w:type="dxa"/>
            <w:vAlign w:val="bottom"/>
          </w:tcPr>
          <w:p>
            <w:pPr>
              <w:spacing w:after="0"/>
              <w:rPr>
                <w:sz w:val="17"/>
                <w:szCs w:val="17"/>
                <w:color w:val="auto"/>
              </w:rPr>
            </w:pPr>
          </w:p>
        </w:tc>
        <w:tc>
          <w:tcPr>
            <w:tcW w:w="1280" w:type="dxa"/>
            <w:vAlign w:val="bottom"/>
            <w:vMerge w:val="restart"/>
          </w:tcPr>
          <w:p>
            <w:pPr>
              <w:jc w:val="right"/>
              <w:ind w:right="164"/>
              <w:spacing w:after="0"/>
              <w:rPr>
                <w:sz w:val="20"/>
                <w:szCs w:val="20"/>
                <w:color w:val="auto"/>
              </w:rPr>
            </w:pPr>
            <w:r>
              <w:rPr>
                <w:rFonts w:ascii="Times New Roman" w:cs="Times New Roman" w:eastAsia="Times New Roman" w:hAnsi="Times New Roman"/>
                <w:sz w:val="20"/>
                <w:szCs w:val="20"/>
                <w:color w:val="auto"/>
              </w:rPr>
              <w:t>2/16/2021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officers</w:t>
              </w:r>
            </w:hyperlink>
          </w:p>
        </w:tc>
        <w:tc>
          <w:tcPr>
            <w:tcW w:w="80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960" w:type="dxa"/>
            <w:vAlign w:val="bottom"/>
            <w:tcBorders>
              <w:bottom w:val="single" w:sz="8" w:color="0000FF"/>
            </w:tcBorders>
            <w:gridSpan w:val="18"/>
          </w:tcPr>
          <w:p>
            <w:pPr>
              <w:ind w:left="20"/>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2019 Stock Incentive Plan and Forms of</w:t>
              </w:r>
            </w:hyperlink>
          </w:p>
        </w:tc>
        <w:tc>
          <w:tcPr>
            <w:tcW w:w="36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Stock Option Agreement, Notice of</w:t>
              </w:r>
            </w:hyperlink>
          </w:p>
        </w:tc>
        <w:tc>
          <w:tcPr>
            <w:tcW w:w="68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Exercise, Stock Option Grant Notice,</w:t>
              </w:r>
            </w:hyperlink>
          </w:p>
        </w:tc>
        <w:tc>
          <w:tcPr>
            <w:tcW w:w="56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FF"/>
            </w:tcBorders>
            <w:gridSpan w:val="15"/>
          </w:tcPr>
          <w:p>
            <w:pPr>
              <w:ind w:left="20"/>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Restricted Stock Unit Agreement, and</w:t>
              </w:r>
            </w:hyperlink>
          </w:p>
        </w:tc>
        <w:tc>
          <w:tcPr>
            <w:tcW w:w="500" w:type="dxa"/>
            <w:vAlign w:val="bottom"/>
            <w:gridSpan w:val="11"/>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580" w:type="dxa"/>
            <w:vAlign w:val="bottom"/>
            <w:gridSpan w:val="2"/>
            <w:vMerge w:val="restart"/>
          </w:tcPr>
          <w:p>
            <w:pPr>
              <w:jc w:val="center"/>
              <w:ind w:left="3"/>
              <w:spacing w:after="0"/>
              <w:rPr>
                <w:sz w:val="20"/>
                <w:szCs w:val="20"/>
                <w:color w:val="auto"/>
              </w:rPr>
            </w:pPr>
            <w:r>
              <w:rPr>
                <w:rFonts w:ascii="Times New Roman" w:cs="Times New Roman" w:eastAsia="Times New Roman" w:hAnsi="Times New Roman"/>
                <w:sz w:val="20"/>
                <w:szCs w:val="20"/>
                <w:color w:val="auto"/>
                <w:w w:val="99"/>
              </w:rPr>
              <w:t>333-234305</w:t>
            </w:r>
          </w:p>
        </w:tc>
        <w:tc>
          <w:tcPr>
            <w:tcW w:w="1820" w:type="dxa"/>
            <w:vAlign w:val="bottom"/>
            <w:gridSpan w:val="2"/>
            <w:vMerge w:val="restart"/>
          </w:tcPr>
          <w:p>
            <w:pPr>
              <w:jc w:val="center"/>
              <w:ind w:left="124"/>
              <w:spacing w:after="0"/>
              <w:rPr>
                <w:sz w:val="20"/>
                <w:szCs w:val="20"/>
                <w:color w:val="auto"/>
              </w:rPr>
            </w:pPr>
            <w:r>
              <w:rPr>
                <w:rFonts w:ascii="Times New Roman" w:cs="Times New Roman" w:eastAsia="Times New Roman" w:hAnsi="Times New Roman"/>
                <w:sz w:val="20"/>
                <w:szCs w:val="20"/>
                <w:color w:val="auto"/>
              </w:rPr>
              <w:t>10.2</w:t>
            </w:r>
          </w:p>
        </w:tc>
        <w:tc>
          <w:tcPr>
            <w:tcW w:w="220" w:type="dxa"/>
            <w:vAlign w:val="bottom"/>
          </w:tcPr>
          <w:p>
            <w:pPr>
              <w:spacing w:after="0"/>
              <w:rPr>
                <w:sz w:val="17"/>
                <w:szCs w:val="17"/>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10/23/2019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Restricted Stock Agreement thereunder</w:t>
              </w:r>
            </w:hyperlink>
          </w:p>
        </w:tc>
        <w:tc>
          <w:tcPr>
            <w:tcW w:w="80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Borders>
              <w:left w:val="single" w:sz="8" w:color="0000EE"/>
            </w:tcBorders>
            <w:gridSpan w:val="3"/>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80" w:type="dxa"/>
            <w:vAlign w:val="bottom"/>
            <w:tcBorders>
              <w:bottom w:val="single" w:sz="8" w:color="0000FF"/>
            </w:tcBorders>
            <w:gridSpan w:val="23"/>
          </w:tcPr>
          <w:p>
            <w:pPr>
              <w:ind w:left="20"/>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New Terms of Employment, dated October</w:t>
              </w:r>
            </w:hyperlink>
          </w:p>
        </w:tc>
        <w:tc>
          <w:tcPr>
            <w:tcW w:w="14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FF"/>
            </w:tcBorders>
            <w:gridSpan w:val="21"/>
          </w:tcPr>
          <w:p>
            <w:pPr>
              <w:ind w:left="20"/>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21, 2014, between Rajesh Vashist and the</w:t>
              </w:r>
            </w:hyperlink>
          </w:p>
        </w:tc>
        <w:tc>
          <w:tcPr>
            <w:tcW w:w="260" w:type="dxa"/>
            <w:vAlign w:val="bottom"/>
            <w:gridSpan w:val="5"/>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580" w:type="dxa"/>
            <w:vAlign w:val="bottom"/>
            <w:gridSpan w:val="2"/>
            <w:vMerge w:val="restart"/>
          </w:tcPr>
          <w:p>
            <w:pPr>
              <w:jc w:val="center"/>
              <w:ind w:left="3"/>
              <w:spacing w:after="0"/>
              <w:rPr>
                <w:sz w:val="20"/>
                <w:szCs w:val="20"/>
                <w:color w:val="auto"/>
              </w:rPr>
            </w:pPr>
            <w:r>
              <w:rPr>
                <w:rFonts w:ascii="Times New Roman" w:cs="Times New Roman" w:eastAsia="Times New Roman" w:hAnsi="Times New Roman"/>
                <w:sz w:val="20"/>
                <w:szCs w:val="20"/>
                <w:color w:val="auto"/>
                <w:w w:val="99"/>
              </w:rPr>
              <w:t>333-234305</w:t>
            </w:r>
          </w:p>
        </w:tc>
        <w:tc>
          <w:tcPr>
            <w:tcW w:w="1820" w:type="dxa"/>
            <w:vAlign w:val="bottom"/>
            <w:gridSpan w:val="2"/>
            <w:vMerge w:val="restart"/>
          </w:tcPr>
          <w:p>
            <w:pPr>
              <w:jc w:val="center"/>
              <w:ind w:left="124"/>
              <w:spacing w:after="0"/>
              <w:rPr>
                <w:sz w:val="20"/>
                <w:szCs w:val="20"/>
                <w:color w:val="auto"/>
              </w:rPr>
            </w:pPr>
            <w:r>
              <w:rPr>
                <w:rFonts w:ascii="Times New Roman" w:cs="Times New Roman" w:eastAsia="Times New Roman" w:hAnsi="Times New Roman"/>
                <w:sz w:val="20"/>
                <w:szCs w:val="20"/>
                <w:color w:val="auto"/>
              </w:rPr>
              <w:t>10.3</w:t>
            </w:r>
          </w:p>
        </w:tc>
        <w:tc>
          <w:tcPr>
            <w:tcW w:w="220" w:type="dxa"/>
            <w:vAlign w:val="bottom"/>
          </w:tcPr>
          <w:p>
            <w:pPr>
              <w:spacing w:after="0"/>
              <w:rPr>
                <w:sz w:val="17"/>
                <w:szCs w:val="17"/>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10/23/2019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Company</w:t>
              </w:r>
            </w:hyperlink>
          </w:p>
        </w:tc>
        <w:tc>
          <w:tcPr>
            <w:tcW w:w="80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800" w:type="dxa"/>
            <w:vAlign w:val="bottom"/>
            <w:tcBorders>
              <w:bottom w:val="single" w:sz="8" w:color="0000FF"/>
            </w:tcBorders>
            <w:gridSpan w:val="14"/>
          </w:tcPr>
          <w:p>
            <w:pPr>
              <w:ind w:left="20"/>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Amendment to Terms of Employment</w:t>
              </w:r>
            </w:hyperlink>
          </w:p>
        </w:tc>
        <w:tc>
          <w:tcPr>
            <w:tcW w:w="520" w:type="dxa"/>
            <w:vAlign w:val="bottom"/>
            <w:gridSpan w:val="12"/>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0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Letter, dated June 14, 2016, between</w:t>
              </w:r>
            </w:hyperlink>
          </w:p>
        </w:tc>
        <w:tc>
          <w:tcPr>
            <w:tcW w:w="620" w:type="dxa"/>
            <w:vAlign w:val="bottom"/>
            <w:gridSpan w:val="15"/>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580" w:type="dxa"/>
            <w:vAlign w:val="bottom"/>
            <w:gridSpan w:val="2"/>
            <w:vMerge w:val="restart"/>
          </w:tcPr>
          <w:p>
            <w:pPr>
              <w:jc w:val="center"/>
              <w:ind w:left="3"/>
              <w:spacing w:after="0"/>
              <w:rPr>
                <w:sz w:val="20"/>
                <w:szCs w:val="20"/>
                <w:color w:val="auto"/>
              </w:rPr>
            </w:pPr>
            <w:r>
              <w:rPr>
                <w:rFonts w:ascii="Times New Roman" w:cs="Times New Roman" w:eastAsia="Times New Roman" w:hAnsi="Times New Roman"/>
                <w:sz w:val="20"/>
                <w:szCs w:val="20"/>
                <w:color w:val="auto"/>
                <w:w w:val="99"/>
              </w:rPr>
              <w:t>333-234305</w:t>
            </w:r>
          </w:p>
        </w:tc>
        <w:tc>
          <w:tcPr>
            <w:tcW w:w="1820" w:type="dxa"/>
            <w:vAlign w:val="bottom"/>
            <w:gridSpan w:val="2"/>
            <w:vMerge w:val="restart"/>
          </w:tcPr>
          <w:p>
            <w:pPr>
              <w:jc w:val="center"/>
              <w:ind w:left="124"/>
              <w:spacing w:after="0"/>
              <w:rPr>
                <w:sz w:val="20"/>
                <w:szCs w:val="20"/>
                <w:color w:val="auto"/>
              </w:rPr>
            </w:pPr>
            <w:r>
              <w:rPr>
                <w:rFonts w:ascii="Times New Roman" w:cs="Times New Roman" w:eastAsia="Times New Roman" w:hAnsi="Times New Roman"/>
                <w:sz w:val="20"/>
                <w:szCs w:val="20"/>
                <w:color w:val="auto"/>
              </w:rPr>
              <w:t>10.4</w:t>
            </w:r>
          </w:p>
        </w:tc>
        <w:tc>
          <w:tcPr>
            <w:tcW w:w="220" w:type="dxa"/>
            <w:vAlign w:val="bottom"/>
          </w:tcPr>
          <w:p>
            <w:pPr>
              <w:spacing w:after="0"/>
              <w:rPr>
                <w:sz w:val="17"/>
                <w:szCs w:val="17"/>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10/23/2019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FF"/>
            </w:tcBorders>
            <w:gridSpan w:val="7"/>
          </w:tcPr>
          <w:p>
            <w:pPr>
              <w:ind w:left="20"/>
              <w:spacing w:after="0" w:line="196" w:lineRule="exact"/>
              <w:rPr>
                <w:rFonts w:ascii="Times New Roman" w:cs="Times New Roman" w:eastAsia="Times New Roman" w:hAnsi="Times New Roman"/>
                <w:sz w:val="18"/>
                <w:szCs w:val="18"/>
                <w:color w:val="0000FF"/>
                <w:w w:val="98"/>
              </w:rPr>
            </w:pPr>
            <w:hyperlink r:id="rId274">
              <w:r>
                <w:rPr>
                  <w:rFonts w:ascii="Times New Roman" w:cs="Times New Roman" w:eastAsia="Times New Roman" w:hAnsi="Times New Roman"/>
                  <w:sz w:val="18"/>
                  <w:szCs w:val="18"/>
                  <w:color w:val="0000FF"/>
                  <w:w w:val="98"/>
                </w:rPr>
                <w:t>Rajesh Vashist and the Company</w:t>
              </w:r>
            </w:hyperlink>
          </w:p>
        </w:tc>
        <w:tc>
          <w:tcPr>
            <w:tcW w:w="20" w:type="dxa"/>
            <w:vAlign w:val="bottom"/>
            <w:tcBorders>
              <w:bottom w:val="single" w:sz="8" w:color="0000EE"/>
            </w:tcBorders>
          </w:tcPr>
          <w:p>
            <w:pPr>
              <w:spacing w:after="0"/>
              <w:rPr>
                <w:sz w:val="17"/>
                <w:szCs w:val="17"/>
                <w:color w:val="auto"/>
              </w:rPr>
            </w:pPr>
          </w:p>
        </w:tc>
        <w:tc>
          <w:tcPr>
            <w:tcW w:w="900" w:type="dxa"/>
            <w:vAlign w:val="bottom"/>
            <w:gridSpan w:val="18"/>
          </w:tcPr>
          <w:p>
            <w:pPr>
              <w:spacing w:after="0"/>
              <w:rPr>
                <w:sz w:val="17"/>
                <w:szCs w:val="17"/>
                <w:color w:val="auto"/>
              </w:rPr>
            </w:pPr>
          </w:p>
        </w:tc>
        <w:tc>
          <w:tcPr>
            <w:tcW w:w="80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3200" w:type="dxa"/>
            <w:vAlign w:val="bottom"/>
            <w:tcBorders>
              <w:bottom w:val="single" w:sz="8" w:color="0000FF"/>
            </w:tcBorders>
            <w:gridSpan w:val="24"/>
          </w:tcPr>
          <w:p>
            <w:pPr>
              <w:ind w:left="20"/>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Offer of Employment, dated September 24,</w:t>
              </w:r>
            </w:hyperlink>
          </w:p>
        </w:tc>
        <w:tc>
          <w:tcPr>
            <w:tcW w:w="12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FF"/>
            </w:tcBorders>
            <w:gridSpan w:val="24"/>
          </w:tcPr>
          <w:p>
            <w:pPr>
              <w:ind w:left="20"/>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2019, between Arthur D. Chadwick and the</w:t>
              </w:r>
            </w:hyperlink>
          </w:p>
        </w:tc>
        <w:tc>
          <w:tcPr>
            <w:tcW w:w="120" w:type="dxa"/>
            <w:vAlign w:val="bottom"/>
            <w:gridSpan w:val="2"/>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580" w:type="dxa"/>
            <w:vAlign w:val="bottom"/>
            <w:gridSpan w:val="2"/>
            <w:vMerge w:val="restart"/>
          </w:tcPr>
          <w:p>
            <w:pPr>
              <w:jc w:val="center"/>
              <w:ind w:left="3"/>
              <w:spacing w:after="0"/>
              <w:rPr>
                <w:sz w:val="20"/>
                <w:szCs w:val="20"/>
                <w:color w:val="auto"/>
              </w:rPr>
            </w:pPr>
            <w:r>
              <w:rPr>
                <w:rFonts w:ascii="Times New Roman" w:cs="Times New Roman" w:eastAsia="Times New Roman" w:hAnsi="Times New Roman"/>
                <w:sz w:val="20"/>
                <w:szCs w:val="20"/>
                <w:color w:val="auto"/>
                <w:w w:val="99"/>
              </w:rPr>
              <w:t>333-234305</w:t>
            </w:r>
          </w:p>
        </w:tc>
        <w:tc>
          <w:tcPr>
            <w:tcW w:w="1820" w:type="dxa"/>
            <w:vAlign w:val="bottom"/>
            <w:gridSpan w:val="2"/>
            <w:vMerge w:val="restart"/>
          </w:tcPr>
          <w:p>
            <w:pPr>
              <w:jc w:val="center"/>
              <w:ind w:left="124"/>
              <w:spacing w:after="0"/>
              <w:rPr>
                <w:sz w:val="20"/>
                <w:szCs w:val="20"/>
                <w:color w:val="auto"/>
              </w:rPr>
            </w:pPr>
            <w:r>
              <w:rPr>
                <w:rFonts w:ascii="Times New Roman" w:cs="Times New Roman" w:eastAsia="Times New Roman" w:hAnsi="Times New Roman"/>
                <w:sz w:val="20"/>
                <w:szCs w:val="20"/>
                <w:color w:val="auto"/>
              </w:rPr>
              <w:t>10.5</w:t>
            </w:r>
          </w:p>
        </w:tc>
        <w:tc>
          <w:tcPr>
            <w:tcW w:w="220" w:type="dxa"/>
            <w:vAlign w:val="bottom"/>
          </w:tcPr>
          <w:p>
            <w:pPr>
              <w:spacing w:after="0"/>
              <w:rPr>
                <w:sz w:val="17"/>
                <w:szCs w:val="17"/>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10/23/2019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Company</w:t>
              </w:r>
            </w:hyperlink>
          </w:p>
        </w:tc>
        <w:tc>
          <w:tcPr>
            <w:tcW w:w="80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98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Offer of Employment, dated January 27,</w:t>
              </w:r>
            </w:hyperlink>
          </w:p>
        </w:tc>
        <w:tc>
          <w:tcPr>
            <w:tcW w:w="34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2018, between Lionel Bonnot and the</w:t>
              </w:r>
            </w:hyperlink>
          </w:p>
        </w:tc>
        <w:tc>
          <w:tcPr>
            <w:tcW w:w="540" w:type="dxa"/>
            <w:vAlign w:val="bottom"/>
            <w:gridSpan w:val="13"/>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580" w:type="dxa"/>
            <w:vAlign w:val="bottom"/>
            <w:gridSpan w:val="2"/>
            <w:vMerge w:val="restart"/>
          </w:tcPr>
          <w:p>
            <w:pPr>
              <w:jc w:val="center"/>
              <w:ind w:left="3"/>
              <w:spacing w:after="0"/>
              <w:rPr>
                <w:sz w:val="20"/>
                <w:szCs w:val="20"/>
                <w:color w:val="auto"/>
              </w:rPr>
            </w:pPr>
            <w:r>
              <w:rPr>
                <w:rFonts w:ascii="Times New Roman" w:cs="Times New Roman" w:eastAsia="Times New Roman" w:hAnsi="Times New Roman"/>
                <w:sz w:val="20"/>
                <w:szCs w:val="20"/>
                <w:color w:val="auto"/>
                <w:w w:val="99"/>
              </w:rPr>
              <w:t>333-234305</w:t>
            </w:r>
          </w:p>
        </w:tc>
        <w:tc>
          <w:tcPr>
            <w:tcW w:w="1820" w:type="dxa"/>
            <w:vAlign w:val="bottom"/>
            <w:gridSpan w:val="2"/>
            <w:vMerge w:val="restart"/>
          </w:tcPr>
          <w:p>
            <w:pPr>
              <w:jc w:val="center"/>
              <w:ind w:left="124"/>
              <w:spacing w:after="0"/>
              <w:rPr>
                <w:sz w:val="20"/>
                <w:szCs w:val="20"/>
                <w:color w:val="auto"/>
              </w:rPr>
            </w:pPr>
            <w:r>
              <w:rPr>
                <w:rFonts w:ascii="Times New Roman" w:cs="Times New Roman" w:eastAsia="Times New Roman" w:hAnsi="Times New Roman"/>
                <w:sz w:val="20"/>
                <w:szCs w:val="20"/>
                <w:color w:val="auto"/>
              </w:rPr>
              <w:t>10.6</w:t>
            </w:r>
          </w:p>
        </w:tc>
        <w:tc>
          <w:tcPr>
            <w:tcW w:w="220" w:type="dxa"/>
            <w:vAlign w:val="bottom"/>
          </w:tcPr>
          <w:p>
            <w:pPr>
              <w:spacing w:after="0"/>
              <w:rPr>
                <w:sz w:val="17"/>
                <w:szCs w:val="17"/>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10/23/2019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Company</w:t>
              </w:r>
            </w:hyperlink>
          </w:p>
        </w:tc>
        <w:tc>
          <w:tcPr>
            <w:tcW w:w="80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17"/>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80" w:type="dxa"/>
            <w:vAlign w:val="bottom"/>
            <w:tcBorders>
              <w:bottom w:val="single" w:sz="8" w:color="0000FF"/>
            </w:tcBorders>
            <w:gridSpan w:val="23"/>
          </w:tcPr>
          <w:p>
            <w:pPr>
              <w:ind w:left="20"/>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New Terms of Employment, dated October</w:t>
              </w:r>
            </w:hyperlink>
          </w:p>
        </w:tc>
        <w:tc>
          <w:tcPr>
            <w:tcW w:w="14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20, 2014, between Piyush B. Sevalia and</w:t>
              </w:r>
            </w:hyperlink>
          </w:p>
        </w:tc>
        <w:tc>
          <w:tcPr>
            <w:tcW w:w="300" w:type="dxa"/>
            <w:vAlign w:val="bottom"/>
            <w:gridSpan w:val="6"/>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580" w:type="dxa"/>
            <w:vAlign w:val="bottom"/>
            <w:gridSpan w:val="2"/>
            <w:vMerge w:val="restart"/>
          </w:tcPr>
          <w:p>
            <w:pPr>
              <w:jc w:val="center"/>
              <w:ind w:left="3"/>
              <w:spacing w:after="0"/>
              <w:rPr>
                <w:sz w:val="20"/>
                <w:szCs w:val="20"/>
                <w:color w:val="auto"/>
              </w:rPr>
            </w:pPr>
            <w:r>
              <w:rPr>
                <w:rFonts w:ascii="Times New Roman" w:cs="Times New Roman" w:eastAsia="Times New Roman" w:hAnsi="Times New Roman"/>
                <w:sz w:val="20"/>
                <w:szCs w:val="20"/>
                <w:color w:val="auto"/>
                <w:w w:val="99"/>
              </w:rPr>
              <w:t>333-234305</w:t>
            </w:r>
          </w:p>
        </w:tc>
        <w:tc>
          <w:tcPr>
            <w:tcW w:w="1820" w:type="dxa"/>
            <w:vAlign w:val="bottom"/>
            <w:gridSpan w:val="2"/>
            <w:vMerge w:val="restart"/>
          </w:tcPr>
          <w:p>
            <w:pPr>
              <w:jc w:val="center"/>
              <w:ind w:left="124"/>
              <w:spacing w:after="0"/>
              <w:rPr>
                <w:sz w:val="20"/>
                <w:szCs w:val="20"/>
                <w:color w:val="auto"/>
              </w:rPr>
            </w:pPr>
            <w:r>
              <w:rPr>
                <w:rFonts w:ascii="Times New Roman" w:cs="Times New Roman" w:eastAsia="Times New Roman" w:hAnsi="Times New Roman"/>
                <w:sz w:val="20"/>
                <w:szCs w:val="20"/>
                <w:color w:val="auto"/>
              </w:rPr>
              <w:t>10.7</w:t>
            </w:r>
          </w:p>
        </w:tc>
        <w:tc>
          <w:tcPr>
            <w:tcW w:w="220" w:type="dxa"/>
            <w:vAlign w:val="bottom"/>
          </w:tcPr>
          <w:p>
            <w:pPr>
              <w:spacing w:after="0"/>
              <w:rPr>
                <w:sz w:val="17"/>
                <w:szCs w:val="17"/>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10/23/2019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gridSpan w:val="26"/>
          </w:tcPr>
          <w:p>
            <w:pPr>
              <w:ind w:left="20"/>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the Company</w:t>
              </w:r>
            </w:hyperlink>
          </w:p>
        </w:tc>
        <w:tc>
          <w:tcPr>
            <w:tcW w:w="80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5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gridSpan w:val="2"/>
          </w:tcPr>
          <w:p>
            <w:pPr>
              <w:jc w:val="right"/>
              <w:ind w:right="1059"/>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55880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20" w:space="420"/>
            <w:col w:w="10080"/>
          </w:cols>
          <w:pgMar w:left="340" w:top="333" w:right="339" w:bottom="1440" w:gutter="0" w:footer="0" w:header="0"/>
        </w:sectPr>
      </w:pPr>
    </w:p>
    <w:bookmarkStart w:id="87" w:name="page88"/>
    <w:bookmarkEnd w:id="87"/>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10.19+</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10.20+</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18"/>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Change of Control and Severance</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Agreement, between the Company and</w:t>
              </w:r>
            </w:hyperlink>
          </w:p>
        </w:tc>
        <w:tc>
          <w:tcPr>
            <w:tcW w:w="980" w:type="dxa"/>
            <w:vAlign w:val="bottom"/>
            <w:vMerge w:val="restart"/>
          </w:tcPr>
          <w:p>
            <w:pPr>
              <w:jc w:val="center"/>
              <w:ind w:left="49"/>
              <w:spacing w:after="0"/>
              <w:rPr>
                <w:sz w:val="20"/>
                <w:szCs w:val="20"/>
                <w:color w:val="auto"/>
              </w:rPr>
            </w:pPr>
            <w:r>
              <w:rPr>
                <w:rFonts w:ascii="Times New Roman" w:cs="Times New Roman" w:eastAsia="Times New Roman" w:hAnsi="Times New Roman"/>
                <w:sz w:val="20"/>
                <w:szCs w:val="20"/>
                <w:color w:val="auto"/>
              </w:rPr>
              <w:t>S-1</w:t>
            </w:r>
          </w:p>
        </w:tc>
        <w:tc>
          <w:tcPr>
            <w:tcW w:w="1820" w:type="dxa"/>
            <w:vAlign w:val="bottom"/>
            <w:vMerge w:val="restart"/>
          </w:tcPr>
          <w:p>
            <w:pPr>
              <w:jc w:val="center"/>
              <w:ind w:right="89"/>
              <w:spacing w:after="0"/>
              <w:rPr>
                <w:sz w:val="20"/>
                <w:szCs w:val="20"/>
                <w:color w:val="auto"/>
              </w:rPr>
            </w:pPr>
            <w:r>
              <w:rPr>
                <w:rFonts w:ascii="Times New Roman" w:cs="Times New Roman" w:eastAsia="Times New Roman" w:hAnsi="Times New Roman"/>
                <w:sz w:val="20"/>
                <w:szCs w:val="20"/>
                <w:color w:val="auto"/>
                <w:w w:val="99"/>
              </w:rPr>
              <w:t>333-234305</w:t>
            </w:r>
          </w:p>
        </w:tc>
        <w:tc>
          <w:tcPr>
            <w:tcW w:w="1460" w:type="dxa"/>
            <w:vAlign w:val="bottom"/>
            <w:vMerge w:val="restart"/>
          </w:tcPr>
          <w:p>
            <w:pPr>
              <w:jc w:val="right"/>
              <w:ind w:right="429"/>
              <w:spacing w:after="0"/>
              <w:rPr>
                <w:sz w:val="20"/>
                <w:szCs w:val="20"/>
                <w:color w:val="auto"/>
              </w:rPr>
            </w:pPr>
            <w:r>
              <w:rPr>
                <w:rFonts w:ascii="Times New Roman" w:cs="Times New Roman" w:eastAsia="Times New Roman" w:hAnsi="Times New Roman"/>
                <w:sz w:val="20"/>
                <w:szCs w:val="20"/>
                <w:color w:val="auto"/>
              </w:rPr>
              <w:t>10.8</w:t>
            </w:r>
          </w:p>
        </w:tc>
        <w:tc>
          <w:tcPr>
            <w:tcW w:w="1420" w:type="dxa"/>
            <w:vAlign w:val="bottom"/>
            <w:vMerge w:val="restart"/>
          </w:tcPr>
          <w:p>
            <w:pPr>
              <w:jc w:val="center"/>
              <w:ind w:left="409"/>
              <w:spacing w:after="0"/>
              <w:rPr>
                <w:sz w:val="20"/>
                <w:szCs w:val="20"/>
                <w:color w:val="auto"/>
              </w:rPr>
            </w:pPr>
            <w:r>
              <w:rPr>
                <w:rFonts w:ascii="Times New Roman" w:cs="Times New Roman" w:eastAsia="Times New Roman" w:hAnsi="Times New Roman"/>
                <w:sz w:val="20"/>
                <w:szCs w:val="20"/>
                <w:color w:val="auto"/>
              </w:rPr>
              <w:t>10/23/2019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Rajesh Vashist</w:t>
              </w:r>
            </w:hyperlink>
          </w:p>
        </w:tc>
        <w:tc>
          <w:tcPr>
            <w:tcW w:w="98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140" w:type="dxa"/>
            <w:vAlign w:val="bottom"/>
            <w:gridSpan w:val="18"/>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Form of Change of Control and Severance</w:t>
              </w:r>
            </w:hyperlink>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Agreement, between the Company and its</w:t>
              </w:r>
            </w:hyperlink>
          </w:p>
        </w:tc>
        <w:tc>
          <w:tcPr>
            <w:tcW w:w="980" w:type="dxa"/>
            <w:vAlign w:val="bottom"/>
            <w:vMerge w:val="restart"/>
          </w:tcPr>
          <w:p>
            <w:pPr>
              <w:jc w:val="center"/>
              <w:ind w:left="49"/>
              <w:spacing w:after="0"/>
              <w:rPr>
                <w:sz w:val="20"/>
                <w:szCs w:val="20"/>
                <w:color w:val="auto"/>
              </w:rPr>
            </w:pPr>
            <w:r>
              <w:rPr>
                <w:rFonts w:ascii="Times New Roman" w:cs="Times New Roman" w:eastAsia="Times New Roman" w:hAnsi="Times New Roman"/>
                <w:sz w:val="20"/>
                <w:szCs w:val="20"/>
                <w:color w:val="auto"/>
              </w:rPr>
              <w:t>S-1</w:t>
            </w:r>
          </w:p>
        </w:tc>
        <w:tc>
          <w:tcPr>
            <w:tcW w:w="1820" w:type="dxa"/>
            <w:vAlign w:val="bottom"/>
            <w:vMerge w:val="restart"/>
          </w:tcPr>
          <w:p>
            <w:pPr>
              <w:jc w:val="center"/>
              <w:ind w:right="89"/>
              <w:spacing w:after="0"/>
              <w:rPr>
                <w:sz w:val="20"/>
                <w:szCs w:val="20"/>
                <w:color w:val="auto"/>
              </w:rPr>
            </w:pPr>
            <w:r>
              <w:rPr>
                <w:rFonts w:ascii="Times New Roman" w:cs="Times New Roman" w:eastAsia="Times New Roman" w:hAnsi="Times New Roman"/>
                <w:sz w:val="20"/>
                <w:szCs w:val="20"/>
                <w:color w:val="auto"/>
                <w:w w:val="99"/>
              </w:rPr>
              <w:t>333-234305</w:t>
            </w:r>
          </w:p>
        </w:tc>
        <w:tc>
          <w:tcPr>
            <w:tcW w:w="1460" w:type="dxa"/>
            <w:vAlign w:val="bottom"/>
            <w:vMerge w:val="restart"/>
          </w:tcPr>
          <w:p>
            <w:pPr>
              <w:jc w:val="right"/>
              <w:ind w:right="429"/>
              <w:spacing w:after="0"/>
              <w:rPr>
                <w:sz w:val="20"/>
                <w:szCs w:val="20"/>
                <w:color w:val="auto"/>
              </w:rPr>
            </w:pPr>
            <w:r>
              <w:rPr>
                <w:rFonts w:ascii="Times New Roman" w:cs="Times New Roman" w:eastAsia="Times New Roman" w:hAnsi="Times New Roman"/>
                <w:sz w:val="20"/>
                <w:szCs w:val="20"/>
                <w:color w:val="auto"/>
              </w:rPr>
              <w:t>10.9</w:t>
            </w:r>
          </w:p>
        </w:tc>
        <w:tc>
          <w:tcPr>
            <w:tcW w:w="1420" w:type="dxa"/>
            <w:vAlign w:val="bottom"/>
            <w:vMerge w:val="restart"/>
          </w:tcPr>
          <w:p>
            <w:pPr>
              <w:jc w:val="center"/>
              <w:ind w:left="409"/>
              <w:spacing w:after="0"/>
              <w:rPr>
                <w:sz w:val="20"/>
                <w:szCs w:val="20"/>
                <w:color w:val="auto"/>
              </w:rPr>
            </w:pPr>
            <w:r>
              <w:rPr>
                <w:rFonts w:ascii="Times New Roman" w:cs="Times New Roman" w:eastAsia="Times New Roman" w:hAnsi="Times New Roman"/>
                <w:sz w:val="20"/>
                <w:szCs w:val="20"/>
                <w:color w:val="auto"/>
              </w:rPr>
              <w:t>10/23/2019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Executives</w:t>
              </w:r>
            </w:hyperlink>
          </w:p>
        </w:tc>
        <w:tc>
          <w:tcPr>
            <w:tcW w:w="98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140" w:type="dxa"/>
            <w:vAlign w:val="bottom"/>
            <w:gridSpan w:val="18"/>
          </w:tcPr>
          <w:p>
            <w:pPr>
              <w:spacing w:after="0"/>
              <w:rPr>
                <w:rFonts w:ascii="Times New Roman" w:cs="Times New Roman" w:eastAsia="Times New Roman" w:hAnsi="Times New Roman"/>
                <w:sz w:val="18"/>
                <w:szCs w:val="18"/>
                <w:color w:val="0000FF"/>
                <w:w w:val="99"/>
              </w:rPr>
            </w:pPr>
            <w:hyperlink r:id="rId281">
              <w:r>
                <w:rPr>
                  <w:rFonts w:ascii="Times New Roman" w:cs="Times New Roman" w:eastAsia="Times New Roman" w:hAnsi="Times New Roman"/>
                  <w:sz w:val="18"/>
                  <w:szCs w:val="18"/>
                  <w:color w:val="0000FF"/>
                  <w:w w:val="99"/>
                </w:rPr>
                <w:t>Integration and Purchase Agreement, dated</w:t>
              </w:r>
            </w:hyperlink>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w w:val="98"/>
              </w:rPr>
            </w:pPr>
            <w:hyperlink r:id="rId281">
              <w:r>
                <w:rPr>
                  <w:rFonts w:ascii="Times New Roman" w:cs="Times New Roman" w:eastAsia="Times New Roman" w:hAnsi="Times New Roman"/>
                  <w:sz w:val="18"/>
                  <w:szCs w:val="18"/>
                  <w:color w:val="0000FF"/>
                  <w:w w:val="98"/>
                </w:rPr>
                <w:t>March 15, 2019, between the Company and</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MegaChips Corporation</w:t>
              </w:r>
            </w:hyperlink>
          </w:p>
        </w:tc>
        <w:tc>
          <w:tcPr>
            <w:tcW w:w="980" w:type="dxa"/>
            <w:vAlign w:val="bottom"/>
          </w:tcPr>
          <w:p>
            <w:pPr>
              <w:jc w:val="center"/>
              <w:ind w:left="49"/>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820" w:type="dxa"/>
            <w:vAlign w:val="bottom"/>
          </w:tcPr>
          <w:p>
            <w:pPr>
              <w:jc w:val="center"/>
              <w:ind w:right="89"/>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1420" w:type="dxa"/>
            <w:vAlign w:val="bottom"/>
          </w:tcPr>
          <w:p>
            <w:pPr>
              <w:jc w:val="center"/>
              <w:ind w:left="389"/>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40" w:type="dxa"/>
            <w:vAlign w:val="bottom"/>
            <w:gridSpan w:val="18"/>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Lease, dated April 15, 2016, between the</w:t>
              </w:r>
            </w:hyperlink>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Company and Batton Associates, LLC</w:t>
              </w:r>
            </w:hyperlink>
          </w:p>
        </w:tc>
        <w:tc>
          <w:tcPr>
            <w:tcW w:w="980" w:type="dxa"/>
            <w:vAlign w:val="bottom"/>
          </w:tcPr>
          <w:p>
            <w:pPr>
              <w:jc w:val="center"/>
              <w:ind w:left="49"/>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820" w:type="dxa"/>
            <w:vAlign w:val="bottom"/>
          </w:tcPr>
          <w:p>
            <w:pPr>
              <w:jc w:val="center"/>
              <w:ind w:right="89"/>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1420" w:type="dxa"/>
            <w:vAlign w:val="bottom"/>
          </w:tcPr>
          <w:p>
            <w:pPr>
              <w:jc w:val="center"/>
              <w:ind w:left="389"/>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140" w:type="dxa"/>
            <w:vAlign w:val="bottom"/>
            <w:gridSpan w:val="18"/>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License Agreement, dated August 1, 2018,</w:t>
              </w:r>
            </w:hyperlink>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between the Company and Robert Bosch</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LLC</w:t>
              </w:r>
            </w:hyperlink>
          </w:p>
        </w:tc>
        <w:tc>
          <w:tcPr>
            <w:tcW w:w="980" w:type="dxa"/>
            <w:vAlign w:val="bottom"/>
          </w:tcPr>
          <w:p>
            <w:pPr>
              <w:jc w:val="center"/>
              <w:ind w:left="49"/>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820" w:type="dxa"/>
            <w:vAlign w:val="bottom"/>
          </w:tcPr>
          <w:p>
            <w:pPr>
              <w:jc w:val="center"/>
              <w:ind w:right="89"/>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10.18</w:t>
            </w:r>
          </w:p>
        </w:tc>
        <w:tc>
          <w:tcPr>
            <w:tcW w:w="1420" w:type="dxa"/>
            <w:vAlign w:val="bottom"/>
          </w:tcPr>
          <w:p>
            <w:pPr>
              <w:jc w:val="center"/>
              <w:ind w:left="389"/>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140" w:type="dxa"/>
            <w:vAlign w:val="bottom"/>
            <w:gridSpan w:val="18"/>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Amended and Restated Manufacturing</w:t>
              </w:r>
            </w:hyperlink>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Agreement, dated February 23, 2017,</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between the Company and Robert Bosch</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LLC</w:t>
              </w:r>
            </w:hyperlink>
          </w:p>
        </w:tc>
        <w:tc>
          <w:tcPr>
            <w:tcW w:w="980" w:type="dxa"/>
            <w:vAlign w:val="bottom"/>
          </w:tcPr>
          <w:p>
            <w:pPr>
              <w:jc w:val="center"/>
              <w:ind w:left="49"/>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820" w:type="dxa"/>
            <w:vAlign w:val="bottom"/>
          </w:tcPr>
          <w:p>
            <w:pPr>
              <w:jc w:val="center"/>
              <w:ind w:right="89"/>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10.19</w:t>
            </w:r>
          </w:p>
        </w:tc>
        <w:tc>
          <w:tcPr>
            <w:tcW w:w="1420" w:type="dxa"/>
            <w:vAlign w:val="bottom"/>
          </w:tcPr>
          <w:p>
            <w:pPr>
              <w:jc w:val="center"/>
              <w:ind w:left="389"/>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140" w:type="dxa"/>
            <w:vAlign w:val="bottom"/>
            <w:gridSpan w:val="18"/>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Amendment No. 1 to Amended and</w:t>
              </w:r>
            </w:hyperlink>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Restated Manufacturing Agreement, dated</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August 1, 2018, between the Company and</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Robert Bosch LLC</w:t>
              </w:r>
            </w:hyperlink>
          </w:p>
        </w:tc>
        <w:tc>
          <w:tcPr>
            <w:tcW w:w="980" w:type="dxa"/>
            <w:vAlign w:val="bottom"/>
          </w:tcPr>
          <w:p>
            <w:pPr>
              <w:jc w:val="center"/>
              <w:ind w:left="49"/>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820" w:type="dxa"/>
            <w:vAlign w:val="bottom"/>
          </w:tcPr>
          <w:p>
            <w:pPr>
              <w:jc w:val="center"/>
              <w:ind w:right="89"/>
              <w:spacing w:after="0" w:line="196" w:lineRule="exact"/>
              <w:rPr>
                <w:sz w:val="20"/>
                <w:szCs w:val="20"/>
                <w:color w:val="auto"/>
              </w:rPr>
            </w:pPr>
            <w:r>
              <w:rPr>
                <w:rFonts w:ascii="Times New Roman" w:cs="Times New Roman" w:eastAsia="Times New Roman" w:hAnsi="Times New Roman"/>
                <w:sz w:val="18"/>
                <w:szCs w:val="18"/>
                <w:color w:val="auto"/>
              </w:rPr>
              <w:t>333-234305</w:t>
            </w:r>
          </w:p>
        </w:tc>
        <w:tc>
          <w:tcPr>
            <w:tcW w:w="1460" w:type="dxa"/>
            <w:vAlign w:val="bottom"/>
          </w:tcPr>
          <w:p>
            <w:pPr>
              <w:jc w:val="right"/>
              <w:ind w:right="409"/>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420" w:type="dxa"/>
            <w:vAlign w:val="bottom"/>
          </w:tcPr>
          <w:p>
            <w:pPr>
              <w:jc w:val="center"/>
              <w:ind w:left="389"/>
              <w:spacing w:after="0" w:line="196" w:lineRule="exact"/>
              <w:rPr>
                <w:sz w:val="20"/>
                <w:szCs w:val="20"/>
                <w:color w:val="auto"/>
              </w:rPr>
            </w:pPr>
            <w:r>
              <w:rPr>
                <w:rFonts w:ascii="Times New Roman" w:cs="Times New Roman" w:eastAsia="Times New Roman" w:hAnsi="Times New Roman"/>
                <w:sz w:val="18"/>
                <w:szCs w:val="18"/>
                <w:color w:val="auto"/>
                <w:w w:val="99"/>
              </w:rPr>
              <w:t>10/23/2019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40" w:type="dxa"/>
            <w:vAlign w:val="bottom"/>
            <w:gridSpan w:val="18"/>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Asset purchase agreement dated February</w:t>
              </w:r>
            </w:hyperlink>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20, 2020, by and among MegaChips</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Taiwan Corporation and SiTime</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Corporation</w:t>
              </w:r>
            </w:hyperlink>
          </w:p>
        </w:tc>
        <w:tc>
          <w:tcPr>
            <w:tcW w:w="980" w:type="dxa"/>
            <w:vAlign w:val="bottom"/>
          </w:tcPr>
          <w:p>
            <w:pPr>
              <w:jc w:val="center"/>
              <w:ind w:left="49"/>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820" w:type="dxa"/>
            <w:vAlign w:val="bottom"/>
          </w:tcPr>
          <w:p>
            <w:pPr>
              <w:jc w:val="center"/>
              <w:ind w:right="69"/>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20" w:type="dxa"/>
            <w:vAlign w:val="bottom"/>
          </w:tcPr>
          <w:p>
            <w:pPr>
              <w:jc w:val="center"/>
              <w:ind w:left="409"/>
              <w:spacing w:after="0" w:line="196" w:lineRule="exact"/>
              <w:rPr>
                <w:sz w:val="20"/>
                <w:szCs w:val="20"/>
                <w:color w:val="auto"/>
              </w:rPr>
            </w:pPr>
            <w:r>
              <w:rPr>
                <w:rFonts w:ascii="Times New Roman" w:cs="Times New Roman" w:eastAsia="Times New Roman" w:hAnsi="Times New Roman"/>
                <w:sz w:val="18"/>
                <w:szCs w:val="18"/>
                <w:color w:val="auto"/>
                <w:w w:val="99"/>
              </w:rPr>
              <w:t>5/7/2020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140" w:type="dxa"/>
            <w:vAlign w:val="bottom"/>
            <w:gridSpan w:val="18"/>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Offer of Employment, dated June 5, 2020,</w:t>
              </w:r>
            </w:hyperlink>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between Vincent P. Pangrazio and SiTime</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Corporation</w:t>
              </w:r>
            </w:hyperlink>
          </w:p>
        </w:tc>
        <w:tc>
          <w:tcPr>
            <w:tcW w:w="980" w:type="dxa"/>
            <w:vAlign w:val="bottom"/>
          </w:tcPr>
          <w:p>
            <w:pPr>
              <w:jc w:val="center"/>
              <w:ind w:left="49"/>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ind w:right="69"/>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jc w:val="center"/>
              <w:ind w:left="409"/>
              <w:spacing w:after="0" w:line="196" w:lineRule="exact"/>
              <w:rPr>
                <w:sz w:val="20"/>
                <w:szCs w:val="20"/>
                <w:color w:val="auto"/>
              </w:rPr>
            </w:pPr>
            <w:r>
              <w:rPr>
                <w:rFonts w:ascii="Times New Roman" w:cs="Times New Roman" w:eastAsia="Times New Roman" w:hAnsi="Times New Roman"/>
                <w:sz w:val="18"/>
                <w:szCs w:val="18"/>
                <w:color w:val="auto"/>
                <w:w w:val="99"/>
              </w:rPr>
              <w:t>6/9/2020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140" w:type="dxa"/>
            <w:vAlign w:val="bottom"/>
            <w:gridSpan w:val="18"/>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Executive Bonus and Retention Plan</w:t>
              </w:r>
            </w:hyperlink>
          </w:p>
        </w:tc>
        <w:tc>
          <w:tcPr>
            <w:tcW w:w="980" w:type="dxa"/>
            <w:vAlign w:val="bottom"/>
            <w:vMerge w:val="restart"/>
          </w:tcPr>
          <w:p>
            <w:pPr>
              <w:jc w:val="center"/>
              <w:ind w:left="49"/>
              <w:spacing w:after="0"/>
              <w:rPr>
                <w:sz w:val="20"/>
                <w:szCs w:val="20"/>
                <w:color w:val="auto"/>
              </w:rPr>
            </w:pPr>
            <w:r>
              <w:rPr>
                <w:rFonts w:ascii="Times New Roman" w:cs="Times New Roman" w:eastAsia="Times New Roman" w:hAnsi="Times New Roman"/>
                <w:sz w:val="18"/>
                <w:szCs w:val="18"/>
                <w:color w:val="auto"/>
                <w:w w:val="97"/>
              </w:rPr>
              <w:t>10-Q</w:t>
            </w:r>
          </w:p>
        </w:tc>
        <w:tc>
          <w:tcPr>
            <w:tcW w:w="1820" w:type="dxa"/>
            <w:vAlign w:val="bottom"/>
            <w:vMerge w:val="restart"/>
          </w:tcPr>
          <w:p>
            <w:pPr>
              <w:jc w:val="center"/>
              <w:ind w:right="69"/>
              <w:spacing w:after="0"/>
              <w:rPr>
                <w:sz w:val="20"/>
                <w:szCs w:val="20"/>
                <w:color w:val="auto"/>
              </w:rPr>
            </w:pPr>
            <w:r>
              <w:rPr>
                <w:rFonts w:ascii="Times New Roman" w:cs="Times New Roman" w:eastAsia="Times New Roman" w:hAnsi="Times New Roman"/>
                <w:sz w:val="18"/>
                <w:szCs w:val="18"/>
                <w:color w:val="auto"/>
                <w:w w:val="99"/>
              </w:rPr>
              <w:t>001-39135</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20" w:type="dxa"/>
            <w:vAlign w:val="bottom"/>
            <w:vMerge w:val="restart"/>
          </w:tcPr>
          <w:p>
            <w:pPr>
              <w:jc w:val="center"/>
              <w:ind w:left="409"/>
              <w:spacing w:after="0"/>
              <w:rPr>
                <w:sz w:val="20"/>
                <w:szCs w:val="20"/>
                <w:color w:val="auto"/>
              </w:rPr>
            </w:pPr>
            <w:r>
              <w:rPr>
                <w:rFonts w:ascii="Times New Roman" w:cs="Times New Roman" w:eastAsia="Times New Roman" w:hAnsi="Times New Roman"/>
                <w:sz w:val="18"/>
                <w:szCs w:val="18"/>
                <w:color w:val="auto"/>
                <w:w w:val="99"/>
              </w:rPr>
              <w:t>8/6/2020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40" w:type="dxa"/>
            <w:vAlign w:val="bottom"/>
            <w:gridSpan w:val="18"/>
            <w:vMerge w:val="restart"/>
          </w:tcPr>
          <w:p>
            <w:pPr>
              <w:spacing w:after="0"/>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Asset Purchase Agreement dated August 4,</w:t>
              </w:r>
            </w:hyperlink>
          </w:p>
        </w:tc>
        <w:tc>
          <w:tcPr>
            <w:tcW w:w="98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3140" w:type="dxa"/>
            <w:vAlign w:val="bottom"/>
            <w:gridSpan w:val="18"/>
            <w:vMerge w:val="continue"/>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2020, by and among MegaChips</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Corporation and SiTime Corporation</w:t>
              </w:r>
            </w:hyperlink>
          </w:p>
        </w:tc>
        <w:tc>
          <w:tcPr>
            <w:tcW w:w="980" w:type="dxa"/>
            <w:vAlign w:val="bottom"/>
          </w:tcPr>
          <w:p>
            <w:pPr>
              <w:jc w:val="center"/>
              <w:ind w:left="49"/>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820" w:type="dxa"/>
            <w:vAlign w:val="bottom"/>
          </w:tcPr>
          <w:p>
            <w:pPr>
              <w:jc w:val="center"/>
              <w:ind w:right="69"/>
              <w:spacing w:after="0" w:line="196" w:lineRule="exact"/>
              <w:rPr>
                <w:sz w:val="20"/>
                <w:szCs w:val="20"/>
                <w:color w:val="auto"/>
              </w:rPr>
            </w:pPr>
            <w:r>
              <w:rPr>
                <w:rFonts w:ascii="Times New Roman" w:cs="Times New Roman" w:eastAsia="Times New Roman" w:hAnsi="Times New Roman"/>
                <w:sz w:val="18"/>
                <w:szCs w:val="18"/>
                <w:color w:val="auto"/>
                <w:w w:val="99"/>
              </w:rPr>
              <w:t>001-39135</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20" w:type="dxa"/>
            <w:vAlign w:val="bottom"/>
          </w:tcPr>
          <w:p>
            <w:pPr>
              <w:jc w:val="center"/>
              <w:ind w:left="409"/>
              <w:spacing w:after="0" w:line="196" w:lineRule="exact"/>
              <w:rPr>
                <w:sz w:val="20"/>
                <w:szCs w:val="20"/>
                <w:color w:val="auto"/>
              </w:rPr>
            </w:pPr>
            <w:r>
              <w:rPr>
                <w:rFonts w:ascii="Times New Roman" w:cs="Times New Roman" w:eastAsia="Times New Roman" w:hAnsi="Times New Roman"/>
                <w:sz w:val="18"/>
                <w:szCs w:val="18"/>
                <w:color w:val="auto"/>
                <w:w w:val="99"/>
              </w:rPr>
              <w:t>8/6/2020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40" w:type="dxa"/>
            <w:vAlign w:val="bottom"/>
            <w:tcBorders>
              <w:right w:val="single" w:sz="8" w:color="0000EE"/>
            </w:tcBorders>
            <w:gridSpan w:val="6"/>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140" w:type="dxa"/>
            <w:vAlign w:val="bottom"/>
            <w:gridSpan w:val="18"/>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Offer of Employment dated November 16,</w:t>
              </w:r>
            </w:hyperlink>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4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2020, between Fari Assaderaghi and</w:t>
              </w:r>
            </w:hyperlink>
          </w:p>
        </w:tc>
        <w:tc>
          <w:tcPr>
            <w:tcW w:w="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4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18"/>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SiTime Corporation</w:t>
              </w:r>
            </w:hyperlink>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820" w:type="dxa"/>
            <w:vAlign w:val="bottom"/>
          </w:tcPr>
          <w:p>
            <w:pPr>
              <w:jc w:val="right"/>
              <w:ind w:right="529"/>
              <w:spacing w:after="0" w:line="196" w:lineRule="exact"/>
              <w:rPr>
                <w:sz w:val="20"/>
                <w:szCs w:val="20"/>
                <w:color w:val="auto"/>
              </w:rPr>
            </w:pPr>
            <w:r>
              <w:rPr>
                <w:rFonts w:ascii="Times New Roman" w:cs="Times New Roman" w:eastAsia="Times New Roman" w:hAnsi="Times New Roman"/>
                <w:sz w:val="18"/>
                <w:szCs w:val="18"/>
                <w:color w:val="auto"/>
              </w:rPr>
              <w:t>001-39135</w:t>
            </w:r>
          </w:p>
        </w:tc>
        <w:tc>
          <w:tcPr>
            <w:tcW w:w="1460" w:type="dxa"/>
            <w:vAlign w:val="bottom"/>
          </w:tcPr>
          <w:p>
            <w:pPr>
              <w:jc w:val="right"/>
              <w:ind w:right="429"/>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2/16/2021</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jc w:val="right"/>
              <w:ind w:right="1309"/>
              <w:spacing w:after="0"/>
              <w:rPr>
                <w:sz w:val="20"/>
                <w:szCs w:val="20"/>
                <w:color w:val="auto"/>
              </w:rPr>
            </w:pPr>
            <w:r>
              <w:rPr>
                <w:rFonts w:ascii="Times New Roman" w:cs="Times New Roman" w:eastAsia="Times New Roman" w:hAnsi="Times New Roman"/>
                <w:sz w:val="18"/>
                <w:szCs w:val="18"/>
                <w:color w:val="auto"/>
              </w:rPr>
              <w:t>87</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0" w:space="400"/>
            <w:col w:w="8959"/>
          </w:cols>
          <w:pgMar w:left="600" w:top="324"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10.23+</w:t>
            </w:r>
          </w:p>
        </w:tc>
        <w:tc>
          <w:tcPr>
            <w:tcW w:w="3100" w:type="dxa"/>
            <w:vAlign w:val="bottom"/>
            <w:gridSpan w:val="18"/>
          </w:tcPr>
          <w:p>
            <w:pPr>
              <w:spacing w:after="0"/>
              <w:rPr>
                <w:rFonts w:ascii="Times New Roman" w:cs="Times New Roman" w:eastAsia="Times New Roman" w:hAnsi="Times New Roman"/>
                <w:sz w:val="18"/>
                <w:szCs w:val="18"/>
                <w:color w:val="0000FF"/>
                <w:w w:val="97"/>
              </w:rPr>
            </w:pPr>
            <w:hyperlink r:id="rId292">
              <w:r>
                <w:rPr>
                  <w:rFonts w:ascii="Times New Roman" w:cs="Times New Roman" w:eastAsia="Times New Roman" w:hAnsi="Times New Roman"/>
                  <w:sz w:val="18"/>
                  <w:szCs w:val="18"/>
                  <w:color w:val="0000FF"/>
                  <w:w w:val="97"/>
                </w:rPr>
                <w:t>Independent Director Compensation Policy</w:t>
              </w:r>
            </w:hyperlink>
          </w:p>
        </w:tc>
        <w:tc>
          <w:tcPr>
            <w:tcW w:w="100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7"/>
              </w:rPr>
              <w:t>10-K</w:t>
            </w:r>
          </w:p>
        </w:tc>
        <w:tc>
          <w:tcPr>
            <w:tcW w:w="18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001-39135</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26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2/16/2021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2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0" w:type="dxa"/>
            <w:vAlign w:val="bottom"/>
          </w:tcPr>
          <w:p>
            <w:pPr>
              <w:spacing w:after="0"/>
              <w:rPr>
                <w:sz w:val="11"/>
                <w:szCs w:val="11"/>
                <w:color w:val="auto"/>
              </w:rPr>
            </w:pPr>
          </w:p>
        </w:tc>
        <w:tc>
          <w:tcPr>
            <w:tcW w:w="3100" w:type="dxa"/>
            <w:vAlign w:val="bottom"/>
            <w:gridSpan w:val="18"/>
            <w:vMerge w:val="restart"/>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Letter Agreement dated April 1, 2021</w:t>
              </w:r>
            </w:hyperlink>
          </w:p>
        </w:tc>
        <w:tc>
          <w:tcPr>
            <w:tcW w:w="100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4"/>
                <w:szCs w:val="24"/>
                <w:color w:val="auto"/>
              </w:rPr>
            </w:pPr>
          </w:p>
        </w:tc>
        <w:tc>
          <w:tcPr>
            <w:tcW w:w="3100" w:type="dxa"/>
            <w:vAlign w:val="bottom"/>
            <w:gridSpan w:val="18"/>
            <w:vMerge w:val="continue"/>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8"/>
              </w:rPr>
              <w:t>10.24+</w:t>
            </w: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between Christine Heckart and SiTime</w:t>
              </w:r>
            </w:hyperlink>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Corporation</w:t>
              </w:r>
            </w:hyperlink>
          </w:p>
        </w:tc>
        <w:tc>
          <w:tcPr>
            <w:tcW w:w="10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color w:val="auto"/>
              </w:rPr>
              <w:t>001-39135</w:t>
            </w: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62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w w:val="99"/>
              </w:rPr>
              <w:t>4/5/2021</w:t>
            </w: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tcPr>
          <w:p>
            <w:pPr>
              <w:spacing w:after="0"/>
              <w:rPr>
                <w:sz w:val="24"/>
                <w:szCs w:val="24"/>
                <w:color w:val="auto"/>
              </w:rPr>
            </w:pPr>
          </w:p>
        </w:tc>
        <w:tc>
          <w:tcPr>
            <w:tcW w:w="3100" w:type="dxa"/>
            <w:vAlign w:val="bottom"/>
            <w:gridSpan w:val="18"/>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Consulting Agreement, dated May 15,</w:t>
              </w:r>
            </w:hyperlink>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8"/>
              </w:rPr>
              <w:t>10.25+</w:t>
            </w: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2021, between Akira Takata and SiTime</w:t>
              </w:r>
            </w:hyperlink>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Corporation</w:t>
              </w:r>
            </w:hyperlink>
          </w:p>
        </w:tc>
        <w:tc>
          <w:tcPr>
            <w:tcW w:w="10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80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color w:val="auto"/>
              </w:rPr>
              <w:t>001-39135</w:t>
            </w: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62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w w:val="99"/>
              </w:rPr>
              <w:t>8/5/2021</w:t>
            </w: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tcPr>
          <w:p>
            <w:pPr>
              <w:spacing w:after="0"/>
              <w:rPr>
                <w:sz w:val="24"/>
                <w:szCs w:val="24"/>
                <w:color w:val="auto"/>
              </w:rPr>
            </w:pPr>
          </w:p>
        </w:tc>
        <w:tc>
          <w:tcPr>
            <w:tcW w:w="3100" w:type="dxa"/>
            <w:vAlign w:val="bottom"/>
            <w:gridSpan w:val="18"/>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Amendment No. 1 to Consulting</w:t>
              </w:r>
            </w:hyperlink>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10.26+</w:t>
            </w: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Agreement, dated December 30, 2021,</w:t>
              </w:r>
            </w:hyperlink>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0" w:type="dxa"/>
            <w:vAlign w:val="bottom"/>
            <w:vMerge w:val="continue"/>
          </w:tcPr>
          <w:p>
            <w:pPr>
              <w:spacing w:after="0"/>
              <w:rPr>
                <w:sz w:val="11"/>
                <w:szCs w:val="11"/>
                <w:color w:val="auto"/>
              </w:rPr>
            </w:pPr>
          </w:p>
        </w:tc>
        <w:tc>
          <w:tcPr>
            <w:tcW w:w="3100" w:type="dxa"/>
            <w:vAlign w:val="bottom"/>
            <w:gridSpan w:val="18"/>
            <w:vMerge w:val="restart"/>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between Akira Takata and SiTime</w:t>
              </w:r>
            </w:hyperlink>
          </w:p>
        </w:tc>
        <w:tc>
          <w:tcPr>
            <w:tcW w:w="10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3100" w:type="dxa"/>
            <w:vAlign w:val="bottom"/>
            <w:gridSpan w:val="18"/>
            <w:vMerge w:val="continue"/>
          </w:tcPr>
          <w:p>
            <w:pPr>
              <w:spacing w:after="0"/>
              <w:rPr>
                <w:sz w:val="5"/>
                <w:szCs w:val="5"/>
                <w:color w:val="auto"/>
              </w:rPr>
            </w:pPr>
          </w:p>
        </w:tc>
        <w:tc>
          <w:tcPr>
            <w:tcW w:w="10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Corporation</w:t>
              </w:r>
            </w:hyperlink>
          </w:p>
        </w:tc>
        <w:tc>
          <w:tcPr>
            <w:tcW w:w="10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80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color w:val="auto"/>
              </w:rPr>
              <w:t>001-39135</w:t>
            </w: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262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w w:val="98"/>
              </w:rPr>
              <w:t>2/25/2022</w:t>
            </w: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spacing w:after="0"/>
              <w:rPr>
                <w:sz w:val="24"/>
                <w:szCs w:val="24"/>
                <w:color w:val="auto"/>
              </w:rPr>
            </w:pPr>
          </w:p>
        </w:tc>
        <w:tc>
          <w:tcPr>
            <w:tcW w:w="3100" w:type="dxa"/>
            <w:vAlign w:val="bottom"/>
            <w:gridSpan w:val="18"/>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First Amendment to Lease, dated January</w:t>
              </w:r>
            </w:hyperlink>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7, 2021, between Batton Associates, LLC</w:t>
              </w:r>
            </w:hyperlink>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and SiTime Corporation</w:t>
              </w:r>
            </w:hyperlink>
          </w:p>
        </w:tc>
        <w:tc>
          <w:tcPr>
            <w:tcW w:w="10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80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color w:val="auto"/>
              </w:rPr>
              <w:t>001-39135</w:t>
            </w: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62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w w:val="98"/>
              </w:rPr>
              <w:t>11/4/2021</w:t>
            </w: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spacing w:after="0"/>
              <w:rPr>
                <w:sz w:val="24"/>
                <w:szCs w:val="24"/>
                <w:color w:val="auto"/>
              </w:rPr>
            </w:pPr>
          </w:p>
        </w:tc>
        <w:tc>
          <w:tcPr>
            <w:tcW w:w="3100" w:type="dxa"/>
            <w:vAlign w:val="bottom"/>
            <w:gridSpan w:val="18"/>
          </w:tcPr>
          <w:p>
            <w:pPr>
              <w:spacing w:after="0"/>
              <w:rPr>
                <w:rFonts w:ascii="Times New Roman" w:cs="Times New Roman" w:eastAsia="Times New Roman" w:hAnsi="Times New Roman"/>
                <w:sz w:val="18"/>
                <w:szCs w:val="18"/>
                <w:color w:val="0000FF"/>
                <w:w w:val="98"/>
              </w:rPr>
            </w:pPr>
            <w:hyperlink r:id="rId297">
              <w:r>
                <w:rPr>
                  <w:rFonts w:ascii="Times New Roman" w:cs="Times New Roman" w:eastAsia="Times New Roman" w:hAnsi="Times New Roman"/>
                  <w:sz w:val="18"/>
                  <w:szCs w:val="18"/>
                  <w:color w:val="0000FF"/>
                  <w:w w:val="98"/>
                </w:rPr>
                <w:t>Letter Agreement, dated October 18, 2021,</w:t>
              </w:r>
            </w:hyperlink>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between Rajesh Vashist and SiTime</w:t>
              </w:r>
            </w:hyperlink>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Corporation</w:t>
              </w:r>
            </w:hyperlink>
          </w:p>
        </w:tc>
        <w:tc>
          <w:tcPr>
            <w:tcW w:w="10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80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color w:val="auto"/>
              </w:rPr>
              <w:t>001-39135</w:t>
            </w: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2620" w:type="dxa"/>
            <w:vAlign w:val="bottom"/>
          </w:tcPr>
          <w:p>
            <w:pPr>
              <w:jc w:val="center"/>
              <w:ind w:right="690"/>
              <w:spacing w:after="0" w:line="196" w:lineRule="exact"/>
              <w:rPr>
                <w:sz w:val="20"/>
                <w:szCs w:val="20"/>
                <w:color w:val="auto"/>
              </w:rPr>
            </w:pPr>
            <w:r>
              <w:rPr>
                <w:rFonts w:ascii="Times New Roman" w:cs="Times New Roman" w:eastAsia="Times New Roman" w:hAnsi="Times New Roman"/>
                <w:sz w:val="18"/>
                <w:szCs w:val="18"/>
                <w:color w:val="auto"/>
                <w:w w:val="98"/>
              </w:rPr>
              <w:t>2/25/2022</w:t>
            </w: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spacing w:after="0"/>
              <w:rPr>
                <w:sz w:val="24"/>
                <w:szCs w:val="24"/>
                <w:color w:val="auto"/>
              </w:rPr>
            </w:pPr>
          </w:p>
        </w:tc>
        <w:tc>
          <w:tcPr>
            <w:tcW w:w="28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Amendment to Letter Agreement dated</w:t>
            </w:r>
          </w:p>
        </w:tc>
        <w:tc>
          <w:tcPr>
            <w:tcW w:w="240" w:type="dxa"/>
            <w:vAlign w:val="bottom"/>
            <w:gridSpan w:val="5"/>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30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October 11, 2022, between Rajesh Vashist</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7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and SiTime Corporation</w:t>
            </w:r>
          </w:p>
        </w:tc>
        <w:tc>
          <w:tcPr>
            <w:tcW w:w="1360" w:type="dxa"/>
            <w:vAlign w:val="bottom"/>
            <w:gridSpan w:val="14"/>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ind w:left="208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45"/>
        </w:trPr>
        <w:tc>
          <w:tcPr>
            <w:tcW w:w="1200" w:type="dxa"/>
            <w:vAlign w:val="bottom"/>
          </w:tcPr>
          <w:p>
            <w:pPr>
              <w:spacing w:after="0"/>
              <w:rPr>
                <w:sz w:val="24"/>
                <w:szCs w:val="24"/>
                <w:color w:val="auto"/>
              </w:rPr>
            </w:pPr>
          </w:p>
        </w:tc>
        <w:tc>
          <w:tcPr>
            <w:tcW w:w="3100" w:type="dxa"/>
            <w:vAlign w:val="bottom"/>
            <w:gridSpan w:val="18"/>
          </w:tcPr>
          <w:p>
            <w:pPr>
              <w:spacing w:after="0"/>
              <w:rPr>
                <w:rFonts w:ascii="Times New Roman" w:cs="Times New Roman" w:eastAsia="Times New Roman" w:hAnsi="Times New Roman"/>
                <w:sz w:val="18"/>
                <w:szCs w:val="18"/>
                <w:color w:val="0000FF"/>
                <w:w w:val="96"/>
              </w:rPr>
            </w:pPr>
            <w:hyperlink r:id="rId298">
              <w:r>
                <w:rPr>
                  <w:rFonts w:ascii="Times New Roman" w:cs="Times New Roman" w:eastAsia="Times New Roman" w:hAnsi="Times New Roman"/>
                  <w:sz w:val="18"/>
                  <w:szCs w:val="18"/>
                  <w:color w:val="0000FF"/>
                  <w:w w:val="96"/>
                </w:rPr>
                <w:t>SiTime Corporation Amended and Restated</w:t>
              </w:r>
            </w:hyperlink>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310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2022 Inducement Award Plan and Form of</w:t>
              </w:r>
            </w:hyperlink>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Restricted Stock Unit Agreement</w:t>
              </w:r>
            </w:hyperlink>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ind w:left="208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tcPr>
          <w:p>
            <w:pPr>
              <w:spacing w:after="0"/>
              <w:rPr>
                <w:sz w:val="24"/>
                <w:szCs w:val="24"/>
                <w:color w:val="auto"/>
              </w:rPr>
            </w:pPr>
          </w:p>
        </w:tc>
        <w:tc>
          <w:tcPr>
            <w:tcW w:w="3100" w:type="dxa"/>
            <w:vAlign w:val="bottom"/>
            <w:gridSpan w:val="18"/>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Sales Agreement dated May 4, 2022</w:t>
              </w:r>
            </w:hyperlink>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between SiTime Corporation and Stifel,</w:t>
              </w:r>
            </w:hyperlink>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100" w:type="dxa"/>
            <w:vAlign w:val="bottom"/>
            <w:gridSpan w:val="18"/>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Nicolaus &amp; Company, Incorporated</w:t>
              </w:r>
            </w:hyperlink>
          </w:p>
        </w:tc>
        <w:tc>
          <w:tcPr>
            <w:tcW w:w="10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6"/>
              </w:rPr>
              <w:t>S-K</w:t>
            </w:r>
          </w:p>
        </w:tc>
        <w:tc>
          <w:tcPr>
            <w:tcW w:w="180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color w:val="auto"/>
              </w:rPr>
              <w:t>001-39135</w:t>
            </w: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2620" w:type="dxa"/>
            <w:vAlign w:val="bottom"/>
          </w:tcPr>
          <w:p>
            <w:pPr>
              <w:jc w:val="center"/>
              <w:ind w:right="710"/>
              <w:spacing w:after="0" w:line="196" w:lineRule="exact"/>
              <w:rPr>
                <w:sz w:val="20"/>
                <w:szCs w:val="20"/>
                <w:color w:val="auto"/>
              </w:rPr>
            </w:pPr>
            <w:r>
              <w:rPr>
                <w:rFonts w:ascii="Times New Roman" w:cs="Times New Roman" w:eastAsia="Times New Roman" w:hAnsi="Times New Roman"/>
                <w:sz w:val="18"/>
                <w:szCs w:val="18"/>
                <w:color w:val="auto"/>
                <w:w w:val="99"/>
              </w:rPr>
              <w:t>5/4/22</w:t>
            </w: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21.1</w:t>
            </w:r>
          </w:p>
        </w:tc>
        <w:tc>
          <w:tcPr>
            <w:tcW w:w="3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5"/>
              </w:rPr>
              <w:t>23.1</w:t>
            </w:r>
          </w:p>
        </w:tc>
        <w:tc>
          <w:tcPr>
            <w:tcW w:w="31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Consent of BDO USA, LLP, Independent</w:t>
            </w:r>
          </w:p>
        </w:tc>
        <w:tc>
          <w:tcPr>
            <w:tcW w:w="10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1200" w:type="dxa"/>
            <w:vAlign w:val="bottom"/>
            <w:vMerge w:val="continue"/>
          </w:tcPr>
          <w:p>
            <w:pPr>
              <w:spacing w:after="0"/>
              <w:rPr>
                <w:sz w:val="24"/>
                <w:szCs w:val="24"/>
                <w:color w:val="auto"/>
              </w:rPr>
            </w:pPr>
          </w:p>
        </w:tc>
        <w:tc>
          <w:tcPr>
            <w:tcW w:w="3100" w:type="dxa"/>
            <w:vAlign w:val="bottom"/>
            <w:gridSpan w:val="18"/>
            <w:vMerge w:val="continue"/>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0" w:type="dxa"/>
            <w:vAlign w:val="bottom"/>
            <w:vMerge w:val="continue"/>
          </w:tcPr>
          <w:p>
            <w:pPr>
              <w:spacing w:after="0"/>
              <w:rPr>
                <w:sz w:val="11"/>
                <w:szCs w:val="11"/>
                <w:color w:val="auto"/>
              </w:rPr>
            </w:pPr>
          </w:p>
        </w:tc>
        <w:tc>
          <w:tcPr>
            <w:tcW w:w="310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10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20" w:type="dxa"/>
            <w:vAlign w:val="bottom"/>
            <w:vMerge w:val="restart"/>
          </w:tcPr>
          <w:p>
            <w:pPr>
              <w:ind w:left="208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3100" w:type="dxa"/>
            <w:vAlign w:val="bottom"/>
            <w:gridSpan w:val="18"/>
            <w:vMerge w:val="continue"/>
          </w:tcPr>
          <w:p>
            <w:pPr>
              <w:spacing w:after="0"/>
              <w:rPr>
                <w:sz w:val="5"/>
                <w:szCs w:val="5"/>
                <w:color w:val="auto"/>
              </w:rPr>
            </w:pPr>
          </w:p>
        </w:tc>
        <w:tc>
          <w:tcPr>
            <w:tcW w:w="10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24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5"/>
              </w:rPr>
              <w:t>24.1</w:t>
            </w:r>
          </w:p>
        </w:tc>
        <w:tc>
          <w:tcPr>
            <w:tcW w:w="3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Power of Attorney (see signature page</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0" w:type="dxa"/>
            <w:vAlign w:val="bottom"/>
            <w:vMerge w:val="continue"/>
          </w:tcPr>
          <w:p>
            <w:pPr>
              <w:spacing w:after="0"/>
              <w:rPr>
                <w:sz w:val="11"/>
                <w:szCs w:val="11"/>
                <w:color w:val="auto"/>
              </w:rPr>
            </w:pPr>
          </w:p>
        </w:tc>
        <w:tc>
          <w:tcPr>
            <w:tcW w:w="310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hereto)</w:t>
            </w:r>
          </w:p>
        </w:tc>
        <w:tc>
          <w:tcPr>
            <w:tcW w:w="10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20" w:type="dxa"/>
            <w:vAlign w:val="bottom"/>
            <w:vMerge w:val="restart"/>
          </w:tcPr>
          <w:p>
            <w:pPr>
              <w:ind w:left="208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3100" w:type="dxa"/>
            <w:vAlign w:val="bottom"/>
            <w:gridSpan w:val="18"/>
            <w:vMerge w:val="continue"/>
          </w:tcPr>
          <w:p>
            <w:pPr>
              <w:spacing w:after="0"/>
              <w:rPr>
                <w:sz w:val="5"/>
                <w:szCs w:val="5"/>
                <w:color w:val="auto"/>
              </w:rPr>
            </w:pPr>
          </w:p>
        </w:tc>
        <w:tc>
          <w:tcPr>
            <w:tcW w:w="10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spacing w:after="0"/>
              <w:rPr>
                <w:sz w:val="24"/>
                <w:szCs w:val="24"/>
                <w:color w:val="auto"/>
              </w:rPr>
            </w:pPr>
          </w:p>
        </w:tc>
        <w:tc>
          <w:tcPr>
            <w:tcW w:w="3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7"/>
              </w:rPr>
              <w:t>Certification of Principal Executive Officer</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340" w:type="dxa"/>
            <w:vAlign w:val="bottom"/>
            <w:gridSpan w:val="7"/>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Rules 13a-14(a) and 15d-14(a)</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340" w:type="dxa"/>
            <w:vAlign w:val="bottom"/>
            <w:gridSpan w:val="7"/>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31.1</w:t>
            </w:r>
          </w:p>
        </w:tc>
        <w:tc>
          <w:tcPr>
            <w:tcW w:w="3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under the Exchange Act, as Adopted</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340" w:type="dxa"/>
            <w:vAlign w:val="bottom"/>
            <w:gridSpan w:val="7"/>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600" w:type="dxa"/>
            <w:vAlign w:val="bottom"/>
            <w:gridSpan w:val="1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ind w:left="208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01"/>
        </w:trPr>
        <w:tc>
          <w:tcPr>
            <w:tcW w:w="12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88</w:t>
            </w: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9" w:name="page90"/>
    <w:bookmarkEnd w:id="89"/>
    <w:tbl>
      <w:tblPr>
        <w:tblLayout w:type="fixed"/>
        <w:tblInd w:w="20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6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6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3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under the Exchange Act, as Adopted</w:t>
            </w:r>
          </w:p>
        </w:tc>
        <w:tc>
          <w:tcPr>
            <w:tcW w:w="6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w:t>
            </w:r>
          </w:p>
        </w:tc>
        <w:tc>
          <w:tcPr>
            <w:tcW w:w="6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480" w:type="dxa"/>
            <w:vAlign w:val="bottom"/>
          </w:tcPr>
          <w:p>
            <w:pPr>
              <w:ind w:left="6360"/>
              <w:spacing w:after="0" w:line="196" w:lineRule="exact"/>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32.1#</w:t>
            </w:r>
          </w:p>
        </w:tc>
        <w:tc>
          <w:tcPr>
            <w:tcW w:w="3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w:t>
            </w:r>
          </w:p>
        </w:tc>
        <w:tc>
          <w:tcPr>
            <w:tcW w:w="6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314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w:t>
            </w:r>
          </w:p>
        </w:tc>
        <w:tc>
          <w:tcPr>
            <w:tcW w:w="6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3140" w:type="dxa"/>
            <w:vAlign w:val="bottom"/>
            <w:gridSpan w:val="7"/>
            <w:vMerge w:val="continue"/>
          </w:tcPr>
          <w:p>
            <w:pPr>
              <w:spacing w:after="0"/>
              <w:rPr>
                <w:sz w:val="5"/>
                <w:szCs w:val="5"/>
                <w:color w:val="auto"/>
              </w:rPr>
            </w:pPr>
          </w:p>
        </w:tc>
        <w:tc>
          <w:tcPr>
            <w:tcW w:w="6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480" w:type="dxa"/>
            <w:vAlign w:val="bottom"/>
          </w:tcPr>
          <w:p>
            <w:pPr>
              <w:ind w:left="6360"/>
              <w:spacing w:after="0" w:line="196" w:lineRule="exact"/>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EE"/>
            </w:tcBorders>
            <w:gridSpan w:val="5"/>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6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0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32.2#</w:t>
            </w:r>
          </w:p>
        </w:tc>
        <w:tc>
          <w:tcPr>
            <w:tcW w:w="3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w:t>
            </w:r>
          </w:p>
        </w:tc>
        <w:tc>
          <w:tcPr>
            <w:tcW w:w="6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00" w:type="dxa"/>
            <w:vAlign w:val="bottom"/>
            <w:vMerge w:val="continue"/>
          </w:tcPr>
          <w:p>
            <w:pPr>
              <w:spacing w:after="0"/>
              <w:rPr>
                <w:sz w:val="11"/>
                <w:szCs w:val="11"/>
                <w:color w:val="auto"/>
              </w:rPr>
            </w:pPr>
          </w:p>
        </w:tc>
        <w:tc>
          <w:tcPr>
            <w:tcW w:w="314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w:t>
            </w:r>
          </w:p>
        </w:tc>
        <w:tc>
          <w:tcPr>
            <w:tcW w:w="6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3140" w:type="dxa"/>
            <w:vAlign w:val="bottom"/>
            <w:gridSpan w:val="7"/>
            <w:vMerge w:val="continue"/>
          </w:tcPr>
          <w:p>
            <w:pPr>
              <w:spacing w:after="0"/>
              <w:rPr>
                <w:sz w:val="5"/>
                <w:szCs w:val="5"/>
                <w:color w:val="auto"/>
              </w:rPr>
            </w:pPr>
          </w:p>
        </w:tc>
        <w:tc>
          <w:tcPr>
            <w:tcW w:w="6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480" w:type="dxa"/>
            <w:vAlign w:val="bottom"/>
          </w:tcPr>
          <w:p>
            <w:pPr>
              <w:ind w:left="6360"/>
              <w:spacing w:after="0" w:line="196" w:lineRule="exact"/>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101.INS</w:t>
            </w: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480" w:type="dxa"/>
            <w:vAlign w:val="bottom"/>
            <w:vMerge w:val="restart"/>
          </w:tcPr>
          <w:p>
            <w:pPr>
              <w:ind w:left="63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6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0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101.SCH</w:t>
            </w:r>
          </w:p>
        </w:tc>
        <w:tc>
          <w:tcPr>
            <w:tcW w:w="3140" w:type="dxa"/>
            <w:vAlign w:val="bottom"/>
            <w:gridSpan w:val="7"/>
            <w:vMerge w:val="continue"/>
          </w:tcPr>
          <w:p>
            <w:pPr>
              <w:spacing w:after="0"/>
              <w:rPr>
                <w:sz w:val="18"/>
                <w:szCs w:val="18"/>
                <w:color w:val="auto"/>
              </w:rPr>
            </w:pPr>
          </w:p>
        </w:tc>
        <w:tc>
          <w:tcPr>
            <w:tcW w:w="6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Document</w:t>
            </w:r>
          </w:p>
        </w:tc>
        <w:tc>
          <w:tcPr>
            <w:tcW w:w="6480" w:type="dxa"/>
            <w:vAlign w:val="bottom"/>
            <w:vMerge w:val="restart"/>
          </w:tcPr>
          <w:p>
            <w:pPr>
              <w:ind w:left="63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03"/>
        </w:trPr>
        <w:tc>
          <w:tcPr>
            <w:tcW w:w="100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6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101.CAL</w:t>
            </w: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6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480" w:type="dxa"/>
            <w:vAlign w:val="bottom"/>
            <w:vMerge w:val="restart"/>
          </w:tcPr>
          <w:p>
            <w:pPr>
              <w:ind w:left="63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03"/>
        </w:trPr>
        <w:tc>
          <w:tcPr>
            <w:tcW w:w="100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6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101.DEF</w:t>
            </w: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6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480" w:type="dxa"/>
            <w:vAlign w:val="bottom"/>
            <w:vMerge w:val="restart"/>
          </w:tcPr>
          <w:p>
            <w:pPr>
              <w:ind w:left="63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03"/>
        </w:trPr>
        <w:tc>
          <w:tcPr>
            <w:tcW w:w="100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6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101.LAB</w:t>
            </w: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w:t>
            </w:r>
          </w:p>
        </w:tc>
        <w:tc>
          <w:tcPr>
            <w:tcW w:w="6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480" w:type="dxa"/>
            <w:vAlign w:val="bottom"/>
            <w:vMerge w:val="restart"/>
          </w:tcPr>
          <w:p>
            <w:pPr>
              <w:ind w:left="63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03"/>
        </w:trPr>
        <w:tc>
          <w:tcPr>
            <w:tcW w:w="100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6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101.PRE</w:t>
            </w: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6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480" w:type="dxa"/>
            <w:vAlign w:val="bottom"/>
            <w:vMerge w:val="restart"/>
          </w:tcPr>
          <w:p>
            <w:pPr>
              <w:ind w:left="636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140" w:type="dxa"/>
            <w:vAlign w:val="bottom"/>
            <w:gridSpan w:val="7"/>
            <w:vMerge w:val="continue"/>
          </w:tcPr>
          <w:p>
            <w:pPr>
              <w:spacing w:after="0"/>
              <w:rPr>
                <w:sz w:val="9"/>
                <w:szCs w:val="9"/>
                <w:color w:val="auto"/>
              </w:rPr>
            </w:pPr>
          </w:p>
        </w:tc>
        <w:tc>
          <w:tcPr>
            <w:tcW w:w="6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references in the table above to previously filed documents or descriptions are incorporating those documents and descriptions by reference thereto.</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references to documents filed as exhibits to periodic reports are to periodic reports of SiTime Corporation, SEC File No. 001-39135.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have been omitted in accordance with Item 601 of Regulation S-K.</w:t>
      </w:r>
    </w:p>
    <w:p>
      <w:pPr>
        <w:spacing w:after="0" w:line="22" w:lineRule="exact"/>
        <w:rPr>
          <w:sz w:val="20"/>
          <w:szCs w:val="20"/>
          <w:color w:val="auto"/>
        </w:rPr>
      </w:pPr>
    </w:p>
    <w:p>
      <w:pPr>
        <w:ind w:firstLine="8"/>
        <w:spacing w:after="0" w:line="217" w:lineRule="exact"/>
        <w:tabs>
          <w:tab w:leader="none" w:pos="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4" w:right="4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Valuation and Qualifying Accounts</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Credited to</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Expenses 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Expenses 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Other Accounts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Other Accounts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4"/>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55,951</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69,314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52"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February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Arthur D. Chadwick</w:t>
      </w:r>
    </w:p>
    <w:p>
      <w:pPr>
        <w:spacing w:after="0" w:line="23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pacing w:after="0" w:line="1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Rajesh Vashist and Arthur D. Chadwick, and each of them, as his or her true and lawful attorneys-in-fact and agents, each with the full power of substitution, for him or her and in his or her name, place, or stead, in any and all capacities, to sign any and all amendments to this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2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p>
      <w:pPr>
        <w:ind w:left="1520"/>
        <w:spacing w:after="0"/>
        <w:tabs>
          <w:tab w:leader="none" w:pos="5860" w:val="left"/>
          <w:tab w:leader="none" w:pos="97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8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340" w:type="dxa"/>
            <w:vAlign w:val="bottom"/>
          </w:tcPr>
          <w:p>
            <w:pPr>
              <w:spacing w:after="0"/>
              <w:rPr>
                <w:sz w:val="18"/>
                <w:szCs w:val="18"/>
                <w:color w:val="auto"/>
              </w:rPr>
            </w:pPr>
          </w:p>
        </w:tc>
      </w:tr>
      <w:tr>
        <w:trPr>
          <w:trHeight w:val="25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Rajesh Vashist</w:t>
            </w:r>
          </w:p>
        </w:tc>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Rajesh Vashist</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62"/>
        </w:trPr>
        <w:tc>
          <w:tcPr>
            <w:tcW w:w="3380" w:type="dxa"/>
            <w:vAlign w:val="bottom"/>
          </w:tcPr>
          <w:p>
            <w:pPr>
              <w:spacing w:after="0"/>
              <w:rPr>
                <w:sz w:val="22"/>
                <w:szCs w:val="22"/>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3340" w:type="dxa"/>
            <w:vAlign w:val="bottom"/>
          </w:tcPr>
          <w:p>
            <w:pPr>
              <w:spacing w:after="0"/>
              <w:rPr>
                <w:sz w:val="22"/>
                <w:szCs w:val="22"/>
                <w:color w:val="auto"/>
              </w:rPr>
            </w:pPr>
          </w:p>
        </w:tc>
      </w:tr>
      <w:tr>
        <w:trPr>
          <w:trHeight w:val="25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Arthur D. Chadwick</w:t>
            </w:r>
          </w:p>
        </w:tc>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3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Arthur D. Chadwick</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49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Raman K. Chitkara</w:t>
            </w: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Raman K. Chitkara</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49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H. Frank</w:t>
            </w: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Edward H. Frank</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49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Torsten G. Kreindl</w:t>
            </w: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Torsten G. Kreindl</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49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Katherine E. Schuelke</w:t>
            </w: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Katherine E. Schuelke</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498"/>
        </w:trPr>
        <w:tc>
          <w:tcPr>
            <w:tcW w:w="33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/s/ Akira Takata</w:t>
            </w: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Akira Takata</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29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Christine Heckart</w:t>
            </w:r>
          </w:p>
        </w:tc>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Christine Heckart</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49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Tom D. Yiu</w:t>
            </w: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February 27, 2023</w:t>
            </w:r>
          </w:p>
        </w:tc>
      </w:tr>
      <w:tr>
        <w:trPr>
          <w:trHeight w:val="184"/>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Tom D. Yiu</w:t>
            </w:r>
          </w:p>
        </w:tc>
        <w:tc>
          <w:tcPr>
            <w:tcW w:w="452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809"/>
        </w:trPr>
        <w:tc>
          <w:tcPr>
            <w:tcW w:w="3380" w:type="dxa"/>
            <w:vAlign w:val="bottom"/>
          </w:tcPr>
          <w:p>
            <w:pPr>
              <w:spacing w:after="0"/>
              <w:rPr>
                <w:sz w:val="24"/>
                <w:szCs w:val="24"/>
                <w:color w:val="auto"/>
              </w:rPr>
            </w:pPr>
          </w:p>
        </w:tc>
        <w:tc>
          <w:tcPr>
            <w:tcW w:w="45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91</w:t>
            </w:r>
          </w:p>
        </w:tc>
        <w:tc>
          <w:tcPr>
            <w:tcW w:w="334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October 11, 2022</w:t>
      </w:r>
    </w:p>
    <w:p>
      <w:pPr>
        <w:spacing w:after="0" w:line="198"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RE: Extension of temporary assignment to SiTime Netherlands, B.V.</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Dear Rajesh Vashist,</w:t>
      </w:r>
    </w:p>
    <w:p>
      <w:pPr>
        <w:spacing w:after="0" w:line="283"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Kindly be informed that your temporary assignment to SiTime Netherlands, B.V., in Delft, the Netherlands, ending on November 30, 2022, will be extended.</w:t>
      </w:r>
    </w:p>
    <w:p>
      <w:pPr>
        <w:spacing w:after="0" w:line="18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Subject to your ability to reside and work in the Netherlands (i.e., you are in possession of the necessary residence and work permit), your temporary transfer to SiTime Netherlands, B.V. shall be extended for another fixed term of 12 months, commencing the day after the date that your current assignment ends, December 1, 2022. Your temporary assignment will therefore terminate 12 months after commencement, on November 30, 2023. Upon completion or early termination of your temporary assignment, you will return to the United States to resume your previous duties.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All details in your original agreement will remain in place, this letter is only to extend your assignment date to November 30, 2023.</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I remain available to answer any questions you may have regarding the content of this letter.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/s/ Arthur Chadwick</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Arthur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1061085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10.30</w:t>
      </w:r>
    </w:p>
    <w:p>
      <w:pPr>
        <w:spacing w:after="0" w:line="20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SITIME CORPORATION</w:t>
      </w:r>
    </w:p>
    <w:p>
      <w:pPr>
        <w:spacing w:after="0" w:line="20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AMENDED AND RESTATED 2022 INDUCEMENT AWARD PLAN</w:t>
      </w:r>
    </w:p>
    <w:p>
      <w:pPr>
        <w:spacing w:after="0" w:line="1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(Adopted by the Compensation Committee on February 23, 2022)</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(Effective as of February 23, 2022)</w:t>
      </w:r>
    </w:p>
    <w:p>
      <w:pPr>
        <w:spacing w:after="0" w:line="200" w:lineRule="exact"/>
        <w:rPr>
          <w:sz w:val="20"/>
          <w:szCs w:val="20"/>
          <w:color w:val="auto"/>
        </w:rPr>
      </w:pPr>
    </w:p>
    <w:p>
      <w:pPr>
        <w:spacing w:after="0" w:line="31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(Amended and Restated on February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67" w:right="33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287"/>
        </w:trPr>
        <w:tc>
          <w:tcPr>
            <w:tcW w:w="820" w:type="dxa"/>
            <w:vAlign w:val="bottom"/>
          </w:tcPr>
          <w:p>
            <w:pPr>
              <w:spacing w:after="0"/>
              <w:rPr>
                <w:sz w:val="24"/>
                <w:szCs w:val="24"/>
                <w:color w:val="auto"/>
              </w:rPr>
            </w:pPr>
          </w:p>
        </w:tc>
        <w:tc>
          <w:tcPr>
            <w:tcW w:w="8120" w:type="dxa"/>
            <w:vAlign w:val="bottom"/>
          </w:tcPr>
          <w:p>
            <w:pPr>
              <w:ind w:left="36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4"/>
                <w:szCs w:val="24"/>
                <w:color w:val="auto"/>
              </w:rPr>
            </w:pPr>
          </w:p>
        </w:tc>
      </w:tr>
      <w:tr>
        <w:trPr>
          <w:trHeight w:val="499"/>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1.  ESTABLISHMENT AND PURPOSE.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w:t>
            </w:r>
          </w:p>
        </w:tc>
      </w:tr>
      <w:tr>
        <w:trPr>
          <w:trHeight w:val="338"/>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2.  DEFINITIONS.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“Affiliate”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“Award”</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“Award Agreement”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“Board of Directors” or “Board”</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“Cash-Based Award”</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“Change in Control”</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“Code”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“Committee”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“Consultant”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(k)</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“Disability”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“Employee”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“Exchange Act”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“Exercise Price”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“Fair Market Value”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“Nonstatutory Option”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7"/>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(q)</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“Option”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“Outside Director”</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“Parent”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“Participant”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“Plan”</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(v)</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 Price”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“Restricted Share”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(x)</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“SAR”</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(y)</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“Section 409A”</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(z)</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“Securities Act”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(aa)</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“Service”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7"/>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(bb)</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“Share”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(cc)</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“Stock”</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(dd)</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“Stock Unit”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(ee)</w:t>
            </w:r>
          </w:p>
        </w:tc>
        <w:tc>
          <w:tcPr>
            <w:tcW w:w="81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“Subsidiary”</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bl>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5" w:name="page96"/>
    <w:bookmarkEnd w:id="95"/>
    <w:tbl>
      <w:tblPr>
        <w:tblLayout w:type="fixed"/>
        <w:tblInd w:w="20" w:type="dxa"/>
        <w:tblCellMar>
          <w:top w:w="0" w:type="dxa"/>
          <w:left w:w="0" w:type="dxa"/>
          <w:bottom w:w="0" w:type="dxa"/>
          <w:right w:w="0" w:type="dxa"/>
        </w:tblCellMar>
      </w:tblPr>
      <w:tr>
        <w:trPr>
          <w:trHeight w:val="286"/>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3.</w:t>
            </w:r>
          </w:p>
        </w:tc>
        <w:tc>
          <w:tcPr>
            <w:tcW w:w="69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ADMINISTRATION.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Committee Composition</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Committee Procedures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Committee Responsibilities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4.</w:t>
            </w:r>
          </w:p>
        </w:tc>
        <w:tc>
          <w:tcPr>
            <w:tcW w:w="69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ELIGIBILITY.</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w:t>
            </w:r>
          </w:p>
        </w:tc>
      </w:tr>
      <w:tr>
        <w:trPr>
          <w:trHeight w:val="338"/>
        </w:trPr>
        <w:tc>
          <w:tcPr>
            <w:tcW w:w="82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5.  STOCK SUBJECT TO PLAN.</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7</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Basic Limitation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Additional Shares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Substitution and Assumption of Awards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6.</w:t>
            </w:r>
          </w:p>
        </w:tc>
        <w:tc>
          <w:tcPr>
            <w:tcW w:w="69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RESTRICTED SHARES.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Restricted Share Award Agreement</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Payment for Awards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Vesting</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Voting and Dividend Rights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Restrictions on Transfer of Shares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8"/>
        </w:trPr>
        <w:tc>
          <w:tcPr>
            <w:tcW w:w="82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7.  TERMS AND CONDITIONS OF OPTIONS.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8</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Stock Option Award Agreement</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37"/>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Number of Shares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Exercise Price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Withholding Taxes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Exercisability and Term</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Exercise of Options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Effect of Change in Control</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No Rights as a Stockholder</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Modification, Extension and Renewal of Options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7"/>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Repricing of Options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(k)</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Restrictions on Transfer of Shares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Buyout Provisions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82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8.  PAYMENT FOR SHARES.</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11</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General Rule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Surrender of Stock</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Services To Be Rendered</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Cashless Exercise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Exercise/Pledge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w:t>
            </w:r>
          </w:p>
        </w:tc>
        <w:tc>
          <w:tcPr>
            <w:tcW w:w="7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Net Exercise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bl>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96" w:name="page97"/>
    <w:bookmarkEnd w:id="96"/>
    <w:tbl>
      <w:tblPr>
        <w:tblLayout w:type="fixed"/>
        <w:tblInd w:w="20" w:type="dxa"/>
        <w:tblCellMar>
          <w:top w:w="0" w:type="dxa"/>
          <w:left w:w="0" w:type="dxa"/>
          <w:bottom w:w="0" w:type="dxa"/>
          <w:right w:w="0" w:type="dxa"/>
        </w:tblCellMar>
      </w:tblPr>
      <w:tr>
        <w:trPr>
          <w:trHeight w:val="282"/>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Promissory Note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Other Forms of Payment</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Limitations under Applicable Law</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86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9.  STOCK APPRECIATION RIGHTS.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12</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SAR Award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Number of Shares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Exercise Price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Exercisability and Term</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Effect of Change in Control</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Exercise of SARs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Modification, Extension or Assumption of SARs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Repricing of SARs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Buyout Provisions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10.</w:t>
            </w:r>
          </w:p>
        </w:tc>
        <w:tc>
          <w:tcPr>
            <w:tcW w:w="72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STOCK UNITS.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13</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Stock Unit Award Agreement</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Payment for Awards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Vesting Conditions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Voting and Dividend Rights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Form and Time of Settlement of Stock Units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7"/>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Death of Participant</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Creditors’ Rights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8"/>
        </w:trPr>
        <w:tc>
          <w:tcPr>
            <w:tcW w:w="86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11.  CASH-BASED AWARDS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14</w:t>
            </w:r>
          </w:p>
        </w:tc>
      </w:tr>
      <w:tr>
        <w:trPr>
          <w:trHeight w:val="338"/>
        </w:trPr>
        <w:tc>
          <w:tcPr>
            <w:tcW w:w="86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12.  ADJUSTMENT OF SHARES.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15</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Adjustments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Dissolution or Liquidation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Reorganizations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Reservation of Rights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37"/>
        </w:trPr>
        <w:tc>
          <w:tcPr>
            <w:tcW w:w="86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13.  DEFERRAL OF AWARDS.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16</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Committee Powers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General Rules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86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14.  LEGAL AND REGULATORY REQUIREMENTS.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17</w:t>
            </w:r>
          </w:p>
        </w:tc>
      </w:tr>
      <w:tr>
        <w:trPr>
          <w:trHeight w:val="338"/>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15.</w:t>
            </w:r>
          </w:p>
        </w:tc>
        <w:tc>
          <w:tcPr>
            <w:tcW w:w="72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TAXES.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17</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Withholding Taxes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Share Withholding</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w:t>
            </w: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Section 409A</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iii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7" w:name="page98"/>
    <w:bookmarkEnd w:id="97"/>
    <w:tbl>
      <w:tblPr>
        <w:tblLayout w:type="fixed"/>
        <w:tblInd w:w="20" w:type="dxa"/>
        <w:tblCellMar>
          <w:top w:w="0" w:type="dxa"/>
          <w:left w:w="0" w:type="dxa"/>
          <w:bottom w:w="0" w:type="dxa"/>
          <w:right w:w="0" w:type="dxa"/>
        </w:tblCellMar>
      </w:tblPr>
      <w:tr>
        <w:trPr>
          <w:trHeight w:val="286"/>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16.</w:t>
            </w:r>
          </w:p>
        </w:tc>
        <w:tc>
          <w:tcPr>
            <w:tcW w:w="68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TRANSFERABILITY.</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w:t>
            </w:r>
          </w:p>
        </w:tc>
      </w:tr>
      <w:tr>
        <w:trPr>
          <w:trHeight w:val="338"/>
        </w:trPr>
        <w:tc>
          <w:tcPr>
            <w:tcW w:w="8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17.  PERFORMANCE BASED AWARDS.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w:t>
            </w:r>
          </w:p>
        </w:tc>
      </w:tr>
      <w:tr>
        <w:trPr>
          <w:trHeight w:val="338"/>
        </w:trPr>
        <w:tc>
          <w:tcPr>
            <w:tcW w:w="8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18.  NO EMPLOYMENT RIGHTS.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w:t>
            </w:r>
          </w:p>
        </w:tc>
      </w:tr>
      <w:tr>
        <w:trPr>
          <w:trHeight w:val="338"/>
        </w:trPr>
        <w:tc>
          <w:tcPr>
            <w:tcW w:w="8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19.  DURATION AND AMENDMENTS.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18</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Term of the Plan</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Right to Amend the Plan</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38"/>
        </w:trPr>
        <w:tc>
          <w:tcPr>
            <w:tcW w:w="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Effect of Termination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38"/>
        </w:trPr>
        <w:tc>
          <w:tcPr>
            <w:tcW w:w="82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20.  AWARDS TO NON-U.S. PARTICIPANTS.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19</w:t>
            </w:r>
          </w:p>
        </w:tc>
      </w:tr>
      <w:tr>
        <w:trPr>
          <w:trHeight w:val="338"/>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21.</w:t>
            </w:r>
          </w:p>
        </w:tc>
        <w:tc>
          <w:tcPr>
            <w:tcW w:w="68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GOVERNING LAW.</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19</w:t>
            </w:r>
          </w:p>
        </w:tc>
      </w:tr>
      <w:tr>
        <w:trPr>
          <w:trHeight w:val="338"/>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22.</w:t>
            </w:r>
          </w:p>
        </w:tc>
        <w:tc>
          <w:tcPr>
            <w:tcW w:w="68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SUCCESSORS AND ASSIGNS.</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19</w:t>
            </w:r>
          </w:p>
        </w:tc>
      </w:tr>
      <w:tr>
        <w:trPr>
          <w:trHeight w:val="338"/>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 23.</w:t>
            </w:r>
          </w:p>
        </w:tc>
        <w:tc>
          <w:tcPr>
            <w:tcW w:w="68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EXECUTION.</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19</w:t>
            </w:r>
          </w:p>
        </w:tc>
      </w:tr>
    </w:tbl>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iv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98" w:name="page99"/>
    <w:bookmarkEnd w:id="98"/>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SITIME CORPORATION</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AMENDED AND RESTATED 2022 INDUCEMENT AWARD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 </w:t>
      </w:r>
      <w:r>
        <w:rPr>
          <w:rFonts w:ascii="Times New Roman" w:cs="Times New Roman" w:eastAsia="Times New Roman" w:hAnsi="Times New Roman"/>
          <w:sz w:val="22"/>
          <w:szCs w:val="22"/>
          <w:b w:val="1"/>
          <w:bCs w:val="1"/>
          <w:color w:val="000000"/>
        </w:rPr>
        <w:t>ESTABLISHMENT AND PURPOSE.</w:t>
      </w:r>
    </w:p>
    <w:p>
      <w:pPr>
        <w:spacing w:after="0" w:line="210" w:lineRule="exact"/>
        <w:rPr>
          <w:sz w:val="20"/>
          <w:szCs w:val="20"/>
          <w:color w:val="auto"/>
        </w:rPr>
      </w:pPr>
    </w:p>
    <w:p>
      <w:pPr>
        <w:ind w:right="140" w:firstLine="749"/>
        <w:spacing w:after="0" w:line="251" w:lineRule="auto"/>
        <w:rPr>
          <w:sz w:val="20"/>
          <w:szCs w:val="20"/>
          <w:color w:val="auto"/>
        </w:rPr>
      </w:pPr>
      <w:r>
        <w:rPr>
          <w:rFonts w:ascii="Times New Roman" w:cs="Times New Roman" w:eastAsia="Times New Roman" w:hAnsi="Times New Roman"/>
          <w:sz w:val="21"/>
          <w:szCs w:val="21"/>
          <w:color w:val="auto"/>
        </w:rPr>
        <w:t>The Plan was adopted by the Committee on February 23, 2022, and became effective on the date the Plan was adopted by the Committee (the “Effective Date”). The Plan was amended and restated on February 21, 2023. The Plan’s purpose is to provide an inducement material for eligible award recipients to enter into employment with the Company, a Parent, a Subsidiary or an Affiliate within the meaning of Rule 5635(c)(4) of the Nasdaq Listing Rules and to enhance the Company’s ability to attract, retain and motivate such persons by providing these individuals with equity ownership and other incentive opportunities.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2. </w:t>
      </w:r>
      <w:r>
        <w:rPr>
          <w:rFonts w:ascii="Times New Roman" w:cs="Times New Roman" w:eastAsia="Times New Roman" w:hAnsi="Times New Roman"/>
          <w:sz w:val="22"/>
          <w:szCs w:val="22"/>
          <w:b w:val="1"/>
          <w:bCs w:val="1"/>
          <w:color w:val="000000"/>
        </w:rPr>
        <w:t>DEFINITIONS.</w:t>
      </w:r>
    </w:p>
    <w:p>
      <w:pPr>
        <w:spacing w:after="0" w:line="210" w:lineRule="exact"/>
        <w:rPr>
          <w:sz w:val="20"/>
          <w:szCs w:val="20"/>
          <w:color w:val="auto"/>
        </w:rPr>
      </w:pPr>
    </w:p>
    <w:p>
      <w:pPr>
        <w:ind w:right="40" w:firstLine="757"/>
        <w:spacing w:after="0" w:line="258" w:lineRule="auto"/>
        <w:tabs>
          <w:tab w:leader="none" w:pos="130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means any entity other than a Subsidiary, if the Company and/or one or more Subsidiaries own not less than 50% of such entity.</w:t>
      </w:r>
    </w:p>
    <w:p>
      <w:pPr>
        <w:spacing w:after="0" w:line="158"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means any award of an Option, a SAR, a Restricted Share, a Stock Unit or a Cash-Based Award under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w:t>
      </w:r>
    </w:p>
    <w:p>
      <w:pPr>
        <w:spacing w:after="0" w:line="182" w:lineRule="exact"/>
        <w:rPr>
          <w:rFonts w:ascii="Times New Roman" w:cs="Times New Roman" w:eastAsia="Times New Roman" w:hAnsi="Times New Roman"/>
          <w:sz w:val="22"/>
          <w:szCs w:val="22"/>
          <w:color w:val="auto"/>
        </w:rPr>
      </w:pPr>
    </w:p>
    <w:p>
      <w:pPr>
        <w:ind w:firstLine="757"/>
        <w:spacing w:after="0" w:line="258" w:lineRule="auto"/>
        <w:tabs>
          <w:tab w:leader="none" w:pos="130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Agreement” means the agreement between the Company and the recipient of an Award which contains the terms, conditions and restrictions pertaining to such Award.</w:t>
      </w:r>
    </w:p>
    <w:p>
      <w:pPr>
        <w:spacing w:after="0" w:line="158"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 of Directors” or “Board” means the Board of Directors of the Company, as constituted from time to time.</w:t>
      </w:r>
    </w:p>
    <w:p>
      <w:pPr>
        <w:spacing w:after="0" w:line="217" w:lineRule="exact"/>
        <w:rPr>
          <w:rFonts w:ascii="Times New Roman" w:cs="Times New Roman" w:eastAsia="Times New Roman" w:hAnsi="Times New Roman"/>
          <w:sz w:val="21"/>
          <w:szCs w:val="21"/>
          <w:color w:val="auto"/>
        </w:rPr>
      </w:pPr>
    </w:p>
    <w:p>
      <w:pPr>
        <w:ind w:left="1320" w:hanging="563"/>
        <w:spacing w:after="0"/>
        <w:tabs>
          <w:tab w:leader="none" w:pos="13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“Cash-Based Award” means an Award that entitles the Participant to receive a cash-denominated payment.</w:t>
      </w:r>
    </w:p>
    <w:p>
      <w:pPr>
        <w:spacing w:after="0" w:line="206"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means the occurrence of any of the following events:</w:t>
      </w:r>
    </w:p>
    <w:p>
      <w:pPr>
        <w:spacing w:after="0" w:line="206" w:lineRule="exact"/>
        <w:rPr>
          <w:rFonts w:ascii="Times New Roman" w:cs="Times New Roman" w:eastAsia="Times New Roman" w:hAnsi="Times New Roman"/>
          <w:sz w:val="22"/>
          <w:szCs w:val="22"/>
          <w:color w:val="auto"/>
        </w:rPr>
      </w:pPr>
    </w:p>
    <w:p>
      <w:pPr>
        <w:ind w:left="2260" w:right="120" w:hanging="755"/>
        <w:spacing w:after="0" w:line="258" w:lineRule="auto"/>
        <w:tabs>
          <w:tab w:leader="none" w:pos="22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Board of Directors occurs, as a result of which fewer than one-half of the incumbent directors are directors who either:</w:t>
      </w:r>
    </w:p>
    <w:p>
      <w:pPr>
        <w:spacing w:after="0" w:line="158" w:lineRule="exact"/>
        <w:rPr>
          <w:rFonts w:ascii="Times New Roman" w:cs="Times New Roman" w:eastAsia="Times New Roman" w:hAnsi="Times New Roman"/>
          <w:sz w:val="22"/>
          <w:szCs w:val="22"/>
          <w:color w:val="auto"/>
        </w:rPr>
      </w:pPr>
    </w:p>
    <w:p>
      <w:pPr>
        <w:ind w:left="3000" w:right="180" w:hanging="746"/>
        <w:spacing w:after="0" w:line="258" w:lineRule="auto"/>
        <w:tabs>
          <w:tab w:leader="none" w:pos="3000"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been directors of the Company on the “look-back date” (as defined below) (the “original directors”); or</w:t>
      </w:r>
    </w:p>
    <w:p>
      <w:pPr>
        <w:spacing w:after="0" w:line="158" w:lineRule="exact"/>
        <w:rPr>
          <w:rFonts w:ascii="Times New Roman" w:cs="Times New Roman" w:eastAsia="Times New Roman" w:hAnsi="Times New Roman"/>
          <w:sz w:val="22"/>
          <w:szCs w:val="22"/>
          <w:color w:val="auto"/>
        </w:rPr>
      </w:pPr>
    </w:p>
    <w:p>
      <w:pPr>
        <w:ind w:left="3000" w:right="20" w:hanging="746"/>
        <w:spacing w:after="0" w:line="255" w:lineRule="auto"/>
        <w:tabs>
          <w:tab w:leader="none" w:pos="3000"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 provided, however, that for this purpose, the “original</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9" w:name="page100"/>
    <w:bookmarkEnd w:id="99"/>
    <w:p>
      <w:pPr>
        <w:ind w:left="3000"/>
        <w:spacing w:after="0"/>
        <w:rPr>
          <w:sz w:val="20"/>
          <w:szCs w:val="20"/>
          <w:color w:val="auto"/>
        </w:rPr>
      </w:pPr>
      <w:r>
        <w:rPr>
          <w:rFonts w:ascii="Times New Roman" w:cs="Times New Roman" w:eastAsia="Times New Roman" w:hAnsi="Times New Roman"/>
          <w:sz w:val="22"/>
          <w:szCs w:val="22"/>
          <w:color w:val="auto"/>
        </w:rPr>
        <w:t>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177" w:lineRule="exact"/>
        <w:rPr>
          <w:sz w:val="20"/>
          <w:szCs w:val="20"/>
          <w:color w:val="auto"/>
        </w:rPr>
      </w:pPr>
    </w:p>
    <w:p>
      <w:pPr>
        <w:ind w:left="2260" w:right="80" w:hanging="755"/>
        <w:spacing w:after="0" w:line="234" w:lineRule="auto"/>
        <w:tabs>
          <w:tab w:leader="none" w:pos="22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79" w:lineRule="exact"/>
        <w:rPr>
          <w:rFonts w:ascii="Times New Roman" w:cs="Times New Roman" w:eastAsia="Times New Roman" w:hAnsi="Times New Roman"/>
          <w:sz w:val="22"/>
          <w:szCs w:val="22"/>
          <w:color w:val="auto"/>
        </w:rPr>
      </w:pPr>
    </w:p>
    <w:p>
      <w:pPr>
        <w:ind w:left="2260" w:right="20" w:hanging="755"/>
        <w:spacing w:after="0" w:line="236" w:lineRule="auto"/>
        <w:tabs>
          <w:tab w:leader="none" w:pos="22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181"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all or substantially all of the Company’s assets.</w:t>
      </w:r>
    </w:p>
    <w:p>
      <w:pPr>
        <w:spacing w:after="0" w:line="206"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22"/>
          <w:szCs w:val="22"/>
          <w:color w:val="auto"/>
        </w:rPr>
        <w:t>For purposes of subsection (f)(i) above, the term “look-back date” means the later of (1) the Effective Date and (2) the date that is 24 months prior to the date of the event that may constitute a Change in Control.</w:t>
      </w:r>
    </w:p>
    <w:p>
      <w:pPr>
        <w:spacing w:after="0" w:line="158"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For purposes of subsection (f)(ii)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80"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Any other provision of this Section 2(f) notwithstanding, a transaction shall not constitute a Change in Control if its sole purpose is to change the state of the Company’s incorporation or to create a holding company that will be owned in substantially the same proportions by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spacing w:after="0" w:line="232" w:lineRule="auto"/>
        <w:rPr>
          <w:sz w:val="20"/>
          <w:szCs w:val="20"/>
          <w:color w:val="auto"/>
        </w:rPr>
      </w:pPr>
      <w:r>
        <w:rPr>
          <w:rFonts w:ascii="Times New Roman" w:cs="Times New Roman" w:eastAsia="Times New Roman" w:hAnsi="Times New Roman"/>
          <w:sz w:val="22"/>
          <w:szCs w:val="22"/>
          <w:color w:val="auto"/>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0" w:name="page101"/>
    <w:bookmarkEnd w:id="100"/>
    <w:p>
      <w:pPr>
        <w:ind w:right="40"/>
        <w:spacing w:after="0" w:line="244" w:lineRule="auto"/>
        <w:rPr>
          <w:sz w:val="20"/>
          <w:szCs w:val="20"/>
          <w:color w:val="auto"/>
        </w:rPr>
      </w:pPr>
      <w:r>
        <w:rPr>
          <w:rFonts w:ascii="Times New Roman" w:cs="Times New Roman" w:eastAsia="Times New Roman" w:hAnsi="Times New Roman"/>
          <w:sz w:val="22"/>
          <w:szCs w:val="22"/>
          <w:color w:val="auto"/>
        </w:rPr>
        <w:t>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spacing w:after="0" w:line="174" w:lineRule="exact"/>
        <w:rPr>
          <w:sz w:val="20"/>
          <w:szCs w:val="20"/>
          <w:color w:val="auto"/>
        </w:rPr>
      </w:pPr>
    </w:p>
    <w:p>
      <w:pPr>
        <w:ind w:right="620" w:firstLine="757"/>
        <w:spacing w:after="0" w:line="258" w:lineRule="auto"/>
        <w:tabs>
          <w:tab w:leader="none" w:pos="130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means the United States Internal Revenue Code of 1986, as amended, and the rules and regulations promulgated thereunder.</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30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Compensation Committee as designated by the Board of Directors, which is authorized to administer the Plan, as described in Section 3 hereof.</w:t>
      </w:r>
    </w:p>
    <w:p>
      <w:pPr>
        <w:spacing w:after="0" w:line="158"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means SiTime Corporation, a Delaware corporation.</w:t>
      </w:r>
    </w:p>
    <w:p>
      <w:pPr>
        <w:spacing w:after="0" w:line="206" w:lineRule="exact"/>
        <w:rPr>
          <w:rFonts w:ascii="Times New Roman" w:cs="Times New Roman" w:eastAsia="Times New Roman" w:hAnsi="Times New Roman"/>
          <w:sz w:val="22"/>
          <w:szCs w:val="22"/>
          <w:color w:val="auto"/>
        </w:rPr>
      </w:pPr>
    </w:p>
    <w:p>
      <w:pPr>
        <w:ind w:right="120" w:firstLine="757"/>
        <w:spacing w:after="0" w:line="239" w:lineRule="auto"/>
        <w:tabs>
          <w:tab w:leader="none" w:pos="130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“Consultant” means an individual who is a consultant or advisor and who provides bona fide services to the Company, a Parent, a Subsidiary or an Affiliate as an independent contractor (not including service as a member of the Board of Directors) or a member of the board of directors of a Parent or a Subsidiary, in each case who is not an Employee. Consultants are not eligible to receive Awards with respect to their service in such capacity.</w:t>
      </w:r>
    </w:p>
    <w:p>
      <w:pPr>
        <w:spacing w:after="0" w:line="180"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means any permanent and total disability as defined by Section 22(e)(3) of the Code.</w:t>
      </w:r>
    </w:p>
    <w:p>
      <w:pPr>
        <w:spacing w:after="0" w:line="206"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means any individual who is a common-law employee of the Company, a Parent, a Subsidiary or an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Affiliate.</w:t>
      </w:r>
    </w:p>
    <w:p>
      <w:pPr>
        <w:spacing w:after="0" w:line="182" w:lineRule="exact"/>
        <w:rPr>
          <w:rFonts w:ascii="Times New Roman" w:cs="Times New Roman" w:eastAsia="Times New Roman" w:hAnsi="Times New Roman"/>
          <w:sz w:val="21"/>
          <w:szCs w:val="21"/>
          <w:color w:val="auto"/>
        </w:rPr>
      </w:pPr>
    </w:p>
    <w:p>
      <w:pPr>
        <w:ind w:right="740" w:firstLine="757"/>
        <w:spacing w:after="0" w:line="258" w:lineRule="auto"/>
        <w:tabs>
          <w:tab w:leader="none" w:pos="130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means the United States Securities Exchange Act of 1934, as amended, and the rules and regulations promulgated thereunder.</w:t>
      </w:r>
    </w:p>
    <w:p>
      <w:pPr>
        <w:spacing w:after="0" w:line="158" w:lineRule="exact"/>
        <w:rPr>
          <w:rFonts w:ascii="Times New Roman" w:cs="Times New Roman" w:eastAsia="Times New Roman" w:hAnsi="Times New Roman"/>
          <w:sz w:val="22"/>
          <w:szCs w:val="22"/>
          <w:color w:val="auto"/>
        </w:rPr>
      </w:pPr>
    </w:p>
    <w:p>
      <w:pPr>
        <w:ind w:right="20" w:firstLine="757"/>
        <w:spacing w:after="0" w:line="239" w:lineRule="auto"/>
        <w:tabs>
          <w:tab w:leader="none" w:pos="130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Price” means, in the case of an Option, the amount for which one Share may be purchased upon exercise of such Option, as specified in the applicable Stock Option Agreement. “Exercise Price” means, in the case of a SAR, an amount, as specified in the applicable SAR Award Agreement, which is subtracted from the Fair Market Value of one Share in determining the amount payable upon exercise of such SAR.</w:t>
      </w:r>
    </w:p>
    <w:p>
      <w:pPr>
        <w:spacing w:after="0" w:line="180"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“Fair Market Value” with respect to a Share, means the market price of one Share, determined by the Committee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follows:</w:t>
      </w:r>
    </w:p>
    <w:p>
      <w:pPr>
        <w:spacing w:after="0" w:line="182" w:lineRule="exact"/>
        <w:rPr>
          <w:rFonts w:ascii="Times New Roman" w:cs="Times New Roman" w:eastAsia="Times New Roman" w:hAnsi="Times New Roman"/>
          <w:sz w:val="21"/>
          <w:szCs w:val="21"/>
          <w:color w:val="auto"/>
        </w:rPr>
      </w:pPr>
    </w:p>
    <w:p>
      <w:pPr>
        <w:ind w:left="2260" w:hanging="755"/>
        <w:spacing w:after="0" w:line="238" w:lineRule="auto"/>
        <w:tabs>
          <w:tab w:leader="none" w:pos="22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39"/>
        <w:spacing w:after="0" w:line="232" w:lineRule="auto"/>
        <w:rPr>
          <w:sz w:val="20"/>
          <w:szCs w:val="20"/>
          <w:color w:val="auto"/>
        </w:rPr>
      </w:pPr>
      <w:r>
        <w:rPr>
          <w:rFonts w:ascii="Times New Roman" w:cs="Times New Roman" w:eastAsia="Times New Roman" w:hAnsi="Times New Roman"/>
          <w:sz w:val="22"/>
          <w:szCs w:val="22"/>
          <w:color w:val="auto"/>
        </w:rPr>
        <w:t>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01" w:name="page102"/>
    <w:bookmarkEnd w:id="101"/>
    <w:p>
      <w:pPr>
        <w:ind w:left="2260" w:right="20" w:hanging="755"/>
        <w:spacing w:after="0"/>
        <w:tabs>
          <w:tab w:leader="none" w:pos="22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p>
      <w:pPr>
        <w:spacing w:after="0" w:line="176" w:lineRule="exact"/>
        <w:rPr>
          <w:rFonts w:ascii="Times New Roman" w:cs="Times New Roman" w:eastAsia="Times New Roman" w:hAnsi="Times New Roman"/>
          <w:sz w:val="22"/>
          <w:szCs w:val="22"/>
          <w:color w:val="auto"/>
        </w:rPr>
      </w:pPr>
    </w:p>
    <w:p>
      <w:pPr>
        <w:ind w:left="2260" w:right="40" w:hanging="755"/>
        <w:spacing w:after="0" w:line="258" w:lineRule="auto"/>
        <w:tabs>
          <w:tab w:leader="none" w:pos="22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none of the foregoing provisions is applicable, then the Fair Market Value shall be determined by the Committee in good faith on such basis as it deems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all cases, the determination of Fair Market Value by the Committee shall be conclusive and binding on all persons.</w:t>
      </w:r>
    </w:p>
    <w:p>
      <w:pPr>
        <w:spacing w:after="0" w:line="202" w:lineRule="exact"/>
        <w:rPr>
          <w:sz w:val="20"/>
          <w:szCs w:val="20"/>
          <w:color w:val="auto"/>
        </w:rPr>
      </w:pPr>
    </w:p>
    <w:p>
      <w:pPr>
        <w:ind w:left="1320" w:hanging="563"/>
        <w:spacing w:after="0"/>
        <w:tabs>
          <w:tab w:leader="none" w:pos="13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“Nonstatutory Option”</w:t>
      </w:r>
      <w:r>
        <w:rPr>
          <w:rFonts w:ascii="Times New Roman" w:cs="Times New Roman" w:eastAsia="Times New Roman" w:hAnsi="Times New Roman"/>
          <w:sz w:val="21"/>
          <w:szCs w:val="21"/>
          <w:i w:val="1"/>
          <w:iCs w:val="1"/>
          <w:color w:val="010000"/>
        </w:rPr>
        <w:t>(q)</w:t>
      </w:r>
      <w:r>
        <w:rPr>
          <w:rFonts w:ascii="Times New Roman" w:cs="Times New Roman" w:eastAsia="Times New Roman" w:hAnsi="Times New Roman"/>
          <w:sz w:val="21"/>
          <w:szCs w:val="21"/>
          <w:color w:val="auto"/>
        </w:rPr>
        <w:t xml:space="preserve">   means a stock option that is not an incentive stock option described in Section 422 of</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Code.</w:t>
      </w:r>
    </w:p>
    <w:p>
      <w:pPr>
        <w:spacing w:after="0" w:line="182" w:lineRule="exact"/>
        <w:rPr>
          <w:rFonts w:ascii="Times New Roman" w:cs="Times New Roman" w:eastAsia="Times New Roman" w:hAnsi="Times New Roman"/>
          <w:sz w:val="21"/>
          <w:szCs w:val="21"/>
          <w:color w:val="auto"/>
        </w:rPr>
      </w:pPr>
    </w:p>
    <w:p>
      <w:pPr>
        <w:ind w:left="1320" w:hanging="563"/>
        <w:spacing w:after="0"/>
        <w:tabs>
          <w:tab w:leader="none" w:pos="13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means a Nonstatutory Option granted under the Plan and entitling the holder to purchase Shares.</w:t>
      </w:r>
    </w:p>
    <w:p>
      <w:pPr>
        <w:spacing w:after="0" w:line="206" w:lineRule="exact"/>
        <w:rPr>
          <w:rFonts w:ascii="Times New Roman" w:cs="Times New Roman" w:eastAsia="Times New Roman" w:hAnsi="Times New Roman"/>
          <w:sz w:val="22"/>
          <w:szCs w:val="22"/>
          <w:color w:val="auto"/>
        </w:rPr>
      </w:pPr>
    </w:p>
    <w:p>
      <w:pPr>
        <w:ind w:right="260" w:firstLine="757"/>
        <w:spacing w:after="0" w:line="244" w:lineRule="auto"/>
        <w:tabs>
          <w:tab w:leader="none" w:pos="130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“Outside Director” means a member of the Board of Directors who is not a common-law employee of, or paid consultant to, the Company, a Parent or a Subsidiary. Outside Directors are not eligible to receive Awards with respect to their service in such capacity.</w:t>
      </w:r>
    </w:p>
    <w:p>
      <w:pPr>
        <w:spacing w:after="0" w:line="173" w:lineRule="exact"/>
        <w:rPr>
          <w:rFonts w:ascii="Times New Roman" w:cs="Times New Roman" w:eastAsia="Times New Roman" w:hAnsi="Times New Roman"/>
          <w:sz w:val="22"/>
          <w:szCs w:val="22"/>
          <w:color w:val="auto"/>
        </w:rPr>
      </w:pPr>
    </w:p>
    <w:p>
      <w:pPr>
        <w:jc w:val="both"/>
        <w:ind w:right="140" w:firstLine="757"/>
        <w:spacing w:after="0" w:line="239" w:lineRule="auto"/>
        <w:tabs>
          <w:tab w:leader="none" w:pos="130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80"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means a person who holds an Award.</w:t>
      </w:r>
    </w:p>
    <w:p>
      <w:pPr>
        <w:spacing w:after="0" w:line="206"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means this SiTime Corporation Amended and Restated 2022 Inducement Award Plan, as amended from</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to time.</w:t>
      </w:r>
    </w:p>
    <w:p>
      <w:pPr>
        <w:spacing w:after="0" w:line="182" w:lineRule="exact"/>
        <w:rPr>
          <w:rFonts w:ascii="Times New Roman" w:cs="Times New Roman" w:eastAsia="Times New Roman" w:hAnsi="Times New Roman"/>
          <w:sz w:val="22"/>
          <w:szCs w:val="22"/>
          <w:color w:val="auto"/>
        </w:rPr>
      </w:pPr>
    </w:p>
    <w:p>
      <w:pPr>
        <w:ind w:right="200" w:firstLine="757"/>
        <w:spacing w:after="0" w:line="258" w:lineRule="auto"/>
        <w:tabs>
          <w:tab w:leader="none" w:pos="130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Price” means the consideration for which one Share may be acquired under the Plan (other than upon exercise of an Option), as specified by the Committee.</w:t>
      </w:r>
    </w:p>
    <w:p>
      <w:pPr>
        <w:spacing w:after="0" w:line="158"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Share” means a Share awarded under the Plan.</w:t>
      </w:r>
    </w:p>
    <w:p>
      <w:pPr>
        <w:spacing w:after="0" w:line="206"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“SAR” means a stock appreciation right granted under the Plan.</w:t>
      </w:r>
    </w:p>
    <w:p>
      <w:pPr>
        <w:spacing w:after="0" w:line="206"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 means Section 409A of the Code.</w:t>
      </w:r>
    </w:p>
    <w:p>
      <w:pPr>
        <w:spacing w:after="0" w:line="206" w:lineRule="exact"/>
        <w:rPr>
          <w:rFonts w:ascii="Times New Roman" w:cs="Times New Roman" w:eastAsia="Times New Roman" w:hAnsi="Times New Roman"/>
          <w:sz w:val="22"/>
          <w:szCs w:val="22"/>
          <w:color w:val="auto"/>
        </w:rPr>
      </w:pPr>
    </w:p>
    <w:p>
      <w:pPr>
        <w:ind w:right="640" w:firstLine="757"/>
        <w:spacing w:after="0" w:line="258" w:lineRule="auto"/>
        <w:tabs>
          <w:tab w:leader="none" w:pos="130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Act” means the United States Securities Act of 1933, as amended, and the rules and regulations promulgated thereunder.</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59"/>
        <w:spacing w:after="0" w:line="232" w:lineRule="auto"/>
        <w:rPr>
          <w:sz w:val="20"/>
          <w:szCs w:val="20"/>
          <w:color w:val="auto"/>
        </w:rPr>
      </w:pPr>
      <w:r>
        <w:rPr>
          <w:rFonts w:ascii="Times New Roman" w:cs="Times New Roman" w:eastAsia="Times New Roman" w:hAnsi="Times New Roman"/>
          <w:sz w:val="22"/>
          <w:szCs w:val="22"/>
          <w:color w:val="auto"/>
        </w:rPr>
        <w:t>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02" w:name="page103"/>
    <w:bookmarkEnd w:id="102"/>
    <w:p>
      <w:pPr>
        <w:ind w:right="100" w:firstLine="757"/>
        <w:spacing w:after="0" w:line="236" w:lineRule="auto"/>
        <w:tabs>
          <w:tab w:leader="none" w:pos="130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181"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means one share of Stock, as adjusted in accordance with Section 12 (if applicable).</w:t>
      </w:r>
    </w:p>
    <w:p>
      <w:pPr>
        <w:spacing w:after="0" w:line="206"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means the Common Stock, par value $0.0001 per share, of the Company.</w:t>
      </w:r>
    </w:p>
    <w:p>
      <w:pPr>
        <w:spacing w:after="0" w:line="206" w:lineRule="exact"/>
        <w:rPr>
          <w:rFonts w:ascii="Times New Roman" w:cs="Times New Roman" w:eastAsia="Times New Roman" w:hAnsi="Times New Roman"/>
          <w:sz w:val="22"/>
          <w:szCs w:val="22"/>
          <w:color w:val="auto"/>
        </w:rPr>
      </w:pPr>
    </w:p>
    <w:p>
      <w:pPr>
        <w:ind w:right="400" w:firstLine="757"/>
        <w:spacing w:after="0" w:line="258" w:lineRule="auto"/>
        <w:tabs>
          <w:tab w:leader="none" w:pos="130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Unit” means a bookkeeping entry representing the Company’s obligation under the Plan to deliver one Share (or distribute cash) on a future date in accordance with the provisions of a Stock Unit Award Agreement.</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30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means any corporation, if the Company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3. </w:t>
      </w:r>
      <w:r>
        <w:rPr>
          <w:rFonts w:ascii="Times New Roman" w:cs="Times New Roman" w:eastAsia="Times New Roman" w:hAnsi="Times New Roman"/>
          <w:sz w:val="22"/>
          <w:szCs w:val="22"/>
          <w:b w:val="1"/>
          <w:bCs w:val="1"/>
          <w:color w:val="000000"/>
        </w:rPr>
        <w:t>ADMINISTRATION.</w:t>
      </w:r>
    </w:p>
    <w:p>
      <w:pPr>
        <w:spacing w:after="0" w:line="206" w:lineRule="exact"/>
        <w:rPr>
          <w:sz w:val="20"/>
          <w:szCs w:val="20"/>
          <w:color w:val="auto"/>
        </w:rPr>
      </w:pPr>
    </w:p>
    <w:p>
      <w:pPr>
        <w:ind w:right="20" w:firstLine="757"/>
        <w:spacing w:after="0" w:line="238" w:lineRule="auto"/>
        <w:tabs>
          <w:tab w:leader="none" w:pos="130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Committee Composition</w:t>
      </w:r>
      <w:r>
        <w:rPr>
          <w:rFonts w:ascii="Times New Roman" w:cs="Times New Roman" w:eastAsia="Times New Roman" w:hAnsi="Times New Roman"/>
          <w:sz w:val="22"/>
          <w:szCs w:val="22"/>
          <w:color w:val="auto"/>
        </w:rPr>
        <w:t>. The Plan shall be administered by a Committee appointed by the Board, or by the Board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acting as the Committee. The Committee shall consist of two or more directors of the Company. In addition, to the extent required by the Board, the composition of the Committee shall satisfy such requirements as the Securities and Exchange Commission may establish for administrators acting under plans intended to qualify for exemption under Rule 16b-3 (or its successor) under the Exchange Act.</w:t>
      </w:r>
    </w:p>
    <w:p>
      <w:pPr>
        <w:spacing w:after="0" w:line="176" w:lineRule="exact"/>
        <w:rPr>
          <w:rFonts w:ascii="Times New Roman" w:cs="Times New Roman" w:eastAsia="Times New Roman" w:hAnsi="Times New Roman"/>
          <w:sz w:val="22"/>
          <w:szCs w:val="22"/>
          <w:color w:val="auto"/>
        </w:rPr>
      </w:pPr>
    </w:p>
    <w:p>
      <w:pPr>
        <w:ind w:right="580" w:firstLine="757"/>
        <w:spacing w:after="0" w:line="241" w:lineRule="auto"/>
        <w:tabs>
          <w:tab w:leader="none" w:pos="130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Committee Procedures</w:t>
      </w:r>
      <w:r>
        <w:rPr>
          <w:rFonts w:ascii="Times New Roman" w:cs="Times New Roman" w:eastAsia="Times New Roman" w:hAnsi="Times New Roman"/>
          <w:sz w:val="22"/>
          <w:szCs w:val="22"/>
          <w:color w:val="auto"/>
        </w:rPr>
        <w:t>. The Board of Directors shall designate one of the members of the Committee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chairman. The Committee may hold meetings at such times and places as it shall determine. The acts of a majority of the Committee members present at meetings at which a quorum exists, or acts reduced to or approved in writing (including via email) by all Committee members, shall be valid acts of the Committee.</w:t>
      </w:r>
    </w:p>
    <w:p>
      <w:pPr>
        <w:spacing w:after="0" w:line="171" w:lineRule="exact"/>
        <w:rPr>
          <w:rFonts w:ascii="Times New Roman" w:cs="Times New Roman" w:eastAsia="Times New Roman" w:hAnsi="Times New Roman"/>
          <w:sz w:val="22"/>
          <w:szCs w:val="22"/>
          <w:color w:val="auto"/>
        </w:rPr>
      </w:pPr>
    </w:p>
    <w:p>
      <w:pPr>
        <w:ind w:right="380" w:firstLine="757"/>
        <w:spacing w:after="0" w:line="262" w:lineRule="auto"/>
        <w:tabs>
          <w:tab w:leader="none" w:pos="130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Committee Responsibilities</w:t>
      </w:r>
      <w:r>
        <w:rPr>
          <w:rFonts w:ascii="Times New Roman" w:cs="Times New Roman" w:eastAsia="Times New Roman" w:hAnsi="Times New Roman"/>
          <w:sz w:val="22"/>
          <w:szCs w:val="22"/>
          <w:color w:val="auto"/>
        </w:rPr>
        <w:t>. Subject to the provisions of the Plan, the Committee shall have full authority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discretion to take the following actions:</w:t>
      </w:r>
    </w:p>
    <w:p>
      <w:pPr>
        <w:spacing w:after="0" w:line="153"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interpret the Plan and to apply its provisions;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adopt, amend or rescind rules, procedures and forms relating to the Plan;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3" w:name="page104"/>
    <w:bookmarkEnd w:id="103"/>
    <w:p>
      <w:pPr>
        <w:ind w:left="2260" w:right="360" w:hanging="755"/>
        <w:spacing w:after="0" w:line="259" w:lineRule="auto"/>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adopt, amend or terminate sub-plans established for the purpose of satisfying applicable foreign laws including qualifying for preferred tax treatment under applicable foreign tax laws;</w:t>
      </w:r>
    </w:p>
    <w:p>
      <w:pPr>
        <w:spacing w:after="0" w:line="156"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any person to execute, on behalf of the Company, any instrument required to carry out the purposes of the Plan;</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when Awards are to be granted under the Plan;</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Participants to whom Awards are to be granted;</w:t>
      </w:r>
    </w:p>
    <w:p>
      <w:pPr>
        <w:spacing w:after="0" w:line="206" w:lineRule="exact"/>
        <w:rPr>
          <w:rFonts w:ascii="Times New Roman" w:cs="Times New Roman" w:eastAsia="Times New Roman" w:hAnsi="Times New Roman"/>
          <w:sz w:val="22"/>
          <w:szCs w:val="22"/>
          <w:color w:val="auto"/>
        </w:rPr>
      </w:pPr>
    </w:p>
    <w:p>
      <w:pPr>
        <w:ind w:left="2260" w:right="280" w:hanging="755"/>
        <w:spacing w:after="0" w:line="258" w:lineRule="auto"/>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type of Award and number of Shares or amount of cash to be made subject to each Award;</w:t>
      </w:r>
    </w:p>
    <w:p>
      <w:pPr>
        <w:spacing w:after="0" w:line="158" w:lineRule="exact"/>
        <w:rPr>
          <w:rFonts w:ascii="Times New Roman" w:cs="Times New Roman" w:eastAsia="Times New Roman" w:hAnsi="Times New Roman"/>
          <w:sz w:val="22"/>
          <w:szCs w:val="22"/>
          <w:color w:val="auto"/>
        </w:rPr>
      </w:pPr>
    </w:p>
    <w:p>
      <w:pPr>
        <w:ind w:left="2260" w:right="60" w:hanging="755"/>
        <w:spacing w:after="0" w:line="239" w:lineRule="auto"/>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and to specify the provisions of the agreement relating to such Award;</w:t>
      </w:r>
    </w:p>
    <w:p>
      <w:pPr>
        <w:spacing w:after="0" w:line="180" w:lineRule="exact"/>
        <w:rPr>
          <w:rFonts w:ascii="Times New Roman" w:cs="Times New Roman" w:eastAsia="Times New Roman" w:hAnsi="Times New Roman"/>
          <w:sz w:val="22"/>
          <w:szCs w:val="22"/>
          <w:color w:val="auto"/>
        </w:rPr>
      </w:pPr>
    </w:p>
    <w:p>
      <w:pPr>
        <w:ind w:left="2260" w:right="340" w:hanging="755"/>
        <w:spacing w:after="0" w:line="244" w:lineRule="auto"/>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amend any outstanding Award Agreement, subject to applicable legal restrictions and listing requirements and to the consent of the Participant if the Participant’s rights or obligations would be materially impaired;</w:t>
      </w:r>
    </w:p>
    <w:p>
      <w:pPr>
        <w:spacing w:after="0" w:line="173" w:lineRule="exact"/>
        <w:rPr>
          <w:rFonts w:ascii="Times New Roman" w:cs="Times New Roman" w:eastAsia="Times New Roman" w:hAnsi="Times New Roman"/>
          <w:sz w:val="22"/>
          <w:szCs w:val="22"/>
          <w:color w:val="auto"/>
        </w:rPr>
      </w:pPr>
    </w:p>
    <w:p>
      <w:pPr>
        <w:ind w:left="2260" w:right="780" w:hanging="755"/>
        <w:spacing w:after="0" w:line="258" w:lineRule="auto"/>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prescribe the consideration for the grant of each Award or other right under the Plan and to determine the sufficiency of such consideration;</w:t>
      </w:r>
    </w:p>
    <w:p>
      <w:pPr>
        <w:spacing w:after="0" w:line="158" w:lineRule="exact"/>
        <w:rPr>
          <w:rFonts w:ascii="Times New Roman" w:cs="Times New Roman" w:eastAsia="Times New Roman" w:hAnsi="Times New Roman"/>
          <w:sz w:val="22"/>
          <w:szCs w:val="22"/>
          <w:color w:val="auto"/>
        </w:rPr>
      </w:pPr>
    </w:p>
    <w:p>
      <w:pPr>
        <w:ind w:left="2260" w:right="60" w:hanging="755"/>
        <w:spacing w:after="0" w:line="258" w:lineRule="auto"/>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disposition of each Award or other right under the Plan in the event of a Participant’s divorce or dissolution of marriage;</w:t>
      </w:r>
    </w:p>
    <w:p>
      <w:pPr>
        <w:spacing w:after="0" w:line="158" w:lineRule="exact"/>
        <w:rPr>
          <w:rFonts w:ascii="Times New Roman" w:cs="Times New Roman" w:eastAsia="Times New Roman" w:hAnsi="Times New Roman"/>
          <w:sz w:val="22"/>
          <w:szCs w:val="22"/>
          <w:color w:val="auto"/>
        </w:rPr>
      </w:pPr>
    </w:p>
    <w:p>
      <w:pPr>
        <w:ind w:left="2260" w:right="200" w:hanging="755"/>
        <w:spacing w:after="0" w:line="258" w:lineRule="auto"/>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Awards under the Plan will be granted in replacement of other grants under an incentive or other compensation plan of an acquired business;</w:t>
      </w:r>
    </w:p>
    <w:p>
      <w:pPr>
        <w:spacing w:after="0" w:line="158" w:lineRule="exact"/>
        <w:rPr>
          <w:rFonts w:ascii="Times New Roman" w:cs="Times New Roman" w:eastAsia="Times New Roman" w:hAnsi="Times New Roman"/>
          <w:sz w:val="22"/>
          <w:szCs w:val="22"/>
          <w:color w:val="auto"/>
        </w:rPr>
      </w:pPr>
    </w:p>
    <w:p>
      <w:pPr>
        <w:ind w:left="2260" w:right="260" w:hanging="755"/>
        <w:spacing w:after="0" w:line="258" w:lineRule="auto"/>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correct any defect, supply any omission, or reconcile any inconsistency in the Plan or any Award Agreement;</w:t>
      </w:r>
    </w:p>
    <w:p>
      <w:pPr>
        <w:spacing w:after="0" w:line="158" w:lineRule="exact"/>
        <w:rPr>
          <w:rFonts w:ascii="Times New Roman" w:cs="Times New Roman" w:eastAsia="Times New Roman" w:hAnsi="Times New Roman"/>
          <w:sz w:val="22"/>
          <w:szCs w:val="22"/>
          <w:color w:val="auto"/>
        </w:rPr>
      </w:pPr>
    </w:p>
    <w:p>
      <w:pPr>
        <w:ind w:left="2260" w:right="20" w:hanging="755"/>
        <w:spacing w:after="0" w:line="258" w:lineRule="auto"/>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or verify the extent of satisfaction of any performance goals or other conditions applicable to the grant, issuance, exercisability, vesting and/or ability to retain any Award; and</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any other actions deemed necessary or advisable for the administration of the Plan.</w:t>
      </w:r>
    </w:p>
    <w:p>
      <w:pPr>
        <w:spacing w:after="0" w:line="206"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Notwithstanding anything in the Plan to the contrary, the grant of Awards must be approved by the Company’s independent compensation committee or a majority of the Company’s</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99"/>
        <w:spacing w:after="0" w:line="232" w:lineRule="auto"/>
        <w:rPr>
          <w:sz w:val="20"/>
          <w:szCs w:val="20"/>
          <w:color w:val="auto"/>
        </w:rPr>
      </w:pPr>
      <w:r>
        <w:rPr>
          <w:rFonts w:ascii="Times New Roman" w:cs="Times New Roman" w:eastAsia="Times New Roman" w:hAnsi="Times New Roman"/>
          <w:sz w:val="22"/>
          <w:szCs w:val="22"/>
          <w:color w:val="auto"/>
        </w:rPr>
        <w:t>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104" w:name="page105"/>
    <w:bookmarkEnd w:id="104"/>
    <w:p>
      <w:pPr>
        <w:ind w:right="280"/>
        <w:spacing w:after="0" w:line="282" w:lineRule="auto"/>
        <w:rPr>
          <w:sz w:val="20"/>
          <w:szCs w:val="20"/>
          <w:color w:val="auto"/>
        </w:rPr>
      </w:pPr>
      <w:r>
        <w:rPr>
          <w:rFonts w:ascii="Times New Roman" w:cs="Times New Roman" w:eastAsia="Times New Roman" w:hAnsi="Times New Roman"/>
          <w:sz w:val="21"/>
          <w:szCs w:val="21"/>
          <w:color w:val="auto"/>
        </w:rPr>
        <w:t>independent directors (as defined in Rule 5605(a)(2) of the Nasdaq Listing Rules) in order to comply with the exemption from the stockholder approval requirement for “inducement grants” provided under Rule 5635(c)(4) of the Nasdaq Listing Rules.</w:t>
      </w:r>
    </w:p>
    <w:p>
      <w:pPr>
        <w:spacing w:after="0" w:line="13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4. </w:t>
      </w:r>
      <w:r>
        <w:rPr>
          <w:rFonts w:ascii="Times New Roman" w:cs="Times New Roman" w:eastAsia="Times New Roman" w:hAnsi="Times New Roman"/>
          <w:sz w:val="22"/>
          <w:szCs w:val="22"/>
          <w:b w:val="1"/>
          <w:bCs w:val="1"/>
          <w:color w:val="000000"/>
        </w:rPr>
        <w:t>ELIGIBILITY.</w:t>
      </w:r>
    </w:p>
    <w:p>
      <w:pPr>
        <w:spacing w:after="0" w:line="210"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Awards may only be granted to Employees who satisfy the standards for inducement grants under Rule 5635(c)(4) of the Nasdaq Listing Rules, where the Award is an inducement material to the individual’s entering into employment with the Company, a Parent, a Subsidiary or an Affiliate within the meaning of Rule 5635(c)(4) of the Nasdaq Listing Rules. For clarity, Awards may not be granted to (i) Consultants or Outside Directors, for service in such capacities, or (ii) any individual who was previously an Employee or Outside Director, other than following a bona fide period of non-employment.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5. </w:t>
      </w:r>
      <w:r>
        <w:rPr>
          <w:rFonts w:ascii="Times New Roman" w:cs="Times New Roman" w:eastAsia="Times New Roman" w:hAnsi="Times New Roman"/>
          <w:sz w:val="22"/>
          <w:szCs w:val="22"/>
          <w:b w:val="1"/>
          <w:bCs w:val="1"/>
          <w:color w:val="000000"/>
        </w:rPr>
        <w:t>STOCK SUBJECT TO PLAN.</w:t>
      </w:r>
    </w:p>
    <w:p>
      <w:pPr>
        <w:spacing w:after="0" w:line="206" w:lineRule="exact"/>
        <w:rPr>
          <w:sz w:val="20"/>
          <w:szCs w:val="20"/>
          <w:color w:val="auto"/>
        </w:rPr>
      </w:pPr>
    </w:p>
    <w:p>
      <w:pPr>
        <w:ind w:right="60" w:firstLine="757"/>
        <w:spacing w:after="0" w:line="238" w:lineRule="auto"/>
        <w:tabs>
          <w:tab w:leader="none" w:pos="130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Basic Limitation</w:t>
      </w:r>
      <w:r>
        <w:rPr>
          <w:rFonts w:ascii="Times New Roman" w:cs="Times New Roman" w:eastAsia="Times New Roman" w:hAnsi="Times New Roman"/>
          <w:sz w:val="22"/>
          <w:szCs w:val="22"/>
          <w:color w:val="auto"/>
        </w:rPr>
        <w:t>. Shares offered under the Plan shall be authorized but unissued Shares or treasury Shares.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aggregate number of Shares authorized for issuance as Awards under the Plan shall not exceed 500,000 Shares, subject to adjustment pursuant to Section 12.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76" w:lineRule="exact"/>
        <w:rPr>
          <w:rFonts w:ascii="Times New Roman" w:cs="Times New Roman" w:eastAsia="Times New Roman" w:hAnsi="Times New Roman"/>
          <w:sz w:val="22"/>
          <w:szCs w:val="22"/>
          <w:color w:val="auto"/>
        </w:rPr>
      </w:pPr>
    </w:p>
    <w:p>
      <w:pPr>
        <w:ind w:right="20" w:firstLine="757"/>
        <w:spacing w:after="0" w:line="235" w:lineRule="auto"/>
        <w:tabs>
          <w:tab w:leader="none" w:pos="130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Shares</w:t>
      </w:r>
      <w:r>
        <w:rPr>
          <w:rFonts w:ascii="Times New Roman" w:cs="Times New Roman" w:eastAsia="Times New Roman" w:hAnsi="Times New Roman"/>
          <w:sz w:val="22"/>
          <w:szCs w:val="22"/>
          <w:color w:val="auto"/>
        </w:rPr>
        <w:t>. If Restricted Shares or Shares issued upon the exercise of Options are forfeited, then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shall again become available for Awards under the Plan. If Stock Units, Options or SARs are forfeited or terminate for any reason before being exercised or settled, or an Award is settled in cash without the delivery of Shares to the holder, then any Shares subject to the Award shall again become available for Awards under the Plan. Only the number of Shares (if any) actually issued in settlement of Awards (and not forfeited) shall reduce the number available in Section 5(a) and the balance shall again become available for Awards under the Plan. Any Shares withheld to satisfy the grant price or Exercise Price or tax withholding obligation pursuant to any Award shall again become available for Awards under the Plan. Notwithstanding the foregoing provisions of this Section 5(b), Shares that have actually been issued shall not again become available for Awards under the Plan, except for Shares that are forfeited and do not become vested.</w:t>
      </w:r>
    </w:p>
    <w:p>
      <w:pPr>
        <w:spacing w:after="0" w:line="173" w:lineRule="exact"/>
        <w:rPr>
          <w:rFonts w:ascii="Times New Roman" w:cs="Times New Roman" w:eastAsia="Times New Roman" w:hAnsi="Times New Roman"/>
          <w:sz w:val="22"/>
          <w:szCs w:val="22"/>
          <w:color w:val="auto"/>
        </w:rPr>
      </w:pPr>
    </w:p>
    <w:p>
      <w:pPr>
        <w:ind w:right="380" w:firstLine="757"/>
        <w:spacing w:after="0" w:line="241" w:lineRule="auto"/>
        <w:tabs>
          <w:tab w:leader="none" w:pos="130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Substitution and Assumption of Awards</w:t>
      </w:r>
      <w:r>
        <w:rPr>
          <w:rFonts w:ascii="Times New Roman" w:cs="Times New Roman" w:eastAsia="Times New Roman" w:hAnsi="Times New Roman"/>
          <w:sz w:val="22"/>
          <w:szCs w:val="22"/>
          <w:color w:val="auto"/>
        </w:rPr>
        <w:t>. The Committee may make Awards under the Plan by assumption,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substitution or replacement of stock options, stock appreciation rights, stock units or similar awards granted by another entity (including a Parent or Subsidiary), if such assumption, substitution or replacement is in connection with an asset acquisition,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5" w:name="page106"/>
    <w:bookmarkEnd w:id="105"/>
    <w:p>
      <w:pPr>
        <w:ind w:right="20"/>
        <w:spacing w:after="0" w:line="238" w:lineRule="auto"/>
        <w:rPr>
          <w:sz w:val="20"/>
          <w:szCs w:val="20"/>
          <w:color w:val="auto"/>
        </w:rPr>
      </w:pPr>
      <w:r>
        <w:rPr>
          <w:rFonts w:ascii="Times New Roman" w:cs="Times New Roman" w:eastAsia="Times New Roman" w:hAnsi="Times New Roman"/>
          <w:sz w:val="22"/>
          <w:szCs w:val="22"/>
          <w:color w:val="auto"/>
        </w:rPr>
        <w:t>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6. </w:t>
      </w:r>
      <w:r>
        <w:rPr>
          <w:rFonts w:ascii="Times New Roman" w:cs="Times New Roman" w:eastAsia="Times New Roman" w:hAnsi="Times New Roman"/>
          <w:sz w:val="22"/>
          <w:szCs w:val="22"/>
          <w:b w:val="1"/>
          <w:bCs w:val="1"/>
          <w:color w:val="000000"/>
        </w:rPr>
        <w:t>RESTRICTED SHARES.</w:t>
      </w:r>
    </w:p>
    <w:p>
      <w:pPr>
        <w:spacing w:after="0" w:line="206" w:lineRule="exact"/>
        <w:rPr>
          <w:sz w:val="20"/>
          <w:szCs w:val="20"/>
          <w:color w:val="auto"/>
        </w:rPr>
      </w:pPr>
    </w:p>
    <w:p>
      <w:pPr>
        <w:ind w:right="140" w:firstLine="757"/>
        <w:spacing w:after="0" w:line="241" w:lineRule="auto"/>
        <w:tabs>
          <w:tab w:leader="none" w:pos="130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Restricted Share Award Agreement</w:t>
      </w:r>
      <w:r>
        <w:rPr>
          <w:rFonts w:ascii="Times New Roman" w:cs="Times New Roman" w:eastAsia="Times New Roman" w:hAnsi="Times New Roman"/>
          <w:sz w:val="22"/>
          <w:szCs w:val="22"/>
          <w:color w:val="auto"/>
        </w:rPr>
        <w:t>. Each grant of Restricted Shares under the Plan shall be evidenced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71" w:lineRule="exact"/>
        <w:rPr>
          <w:rFonts w:ascii="Times New Roman" w:cs="Times New Roman" w:eastAsia="Times New Roman" w:hAnsi="Times New Roman"/>
          <w:sz w:val="22"/>
          <w:szCs w:val="22"/>
          <w:color w:val="auto"/>
        </w:rPr>
      </w:pPr>
    </w:p>
    <w:p>
      <w:pPr>
        <w:jc w:val="both"/>
        <w:ind w:right="520" w:firstLine="757"/>
        <w:spacing w:after="0" w:line="246" w:lineRule="auto"/>
        <w:tabs>
          <w:tab w:leader="none" w:pos="130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for Awards</w:t>
      </w:r>
      <w:r>
        <w:rPr>
          <w:rFonts w:ascii="Times New Roman" w:cs="Times New Roman" w:eastAsia="Times New Roman" w:hAnsi="Times New Roman"/>
          <w:sz w:val="22"/>
          <w:szCs w:val="22"/>
          <w:color w:val="auto"/>
        </w:rPr>
        <w:t>. Restricted Shares may be sold or awarded under the Plan for such consideration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may determine, including (without limitation) cash, cash equivalents, full-recourse promissory notes and future services.</w:t>
      </w:r>
    </w:p>
    <w:p>
      <w:pPr>
        <w:spacing w:after="0" w:line="167" w:lineRule="exact"/>
        <w:rPr>
          <w:rFonts w:ascii="Times New Roman" w:cs="Times New Roman" w:eastAsia="Times New Roman" w:hAnsi="Times New Roman"/>
          <w:sz w:val="22"/>
          <w:szCs w:val="22"/>
          <w:color w:val="auto"/>
        </w:rPr>
      </w:pPr>
    </w:p>
    <w:p>
      <w:pPr>
        <w:jc w:val="both"/>
        <w:ind w:right="120" w:firstLine="757"/>
        <w:spacing w:after="0" w:line="250" w:lineRule="auto"/>
        <w:tabs>
          <w:tab w:leader="none" w:pos="130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Vesting</w:t>
      </w:r>
      <w:r>
        <w:rPr>
          <w:rFonts w:ascii="Times New Roman" w:cs="Times New Roman" w:eastAsia="Times New Roman" w:hAnsi="Times New Roman"/>
          <w:sz w:val="21"/>
          <w:szCs w:val="21"/>
          <w:color w:val="auto"/>
        </w:rPr>
        <w:t>. Each Award of Restricted Shares may or may not be subject to vesting. Vesting shall occur, in full or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installments, upon satisfaction of the conditions specified in the Restricted Share Award Agreement. A Restricted Share Award Agreement may provide for accelerated vesting in the event of the Participant’s death, Disability or retirement or other events.</w:t>
      </w:r>
    </w:p>
    <w:p>
      <w:pPr>
        <w:spacing w:after="0" w:line="2" w:lineRule="exact"/>
        <w:rPr>
          <w:rFonts w:ascii="Times New Roman" w:cs="Times New Roman" w:eastAsia="Times New Roman" w:hAnsi="Times New Roman"/>
          <w:sz w:val="21"/>
          <w:szCs w:val="21"/>
          <w:color w:val="auto"/>
        </w:rPr>
      </w:pPr>
    </w:p>
    <w:p>
      <w:pPr>
        <w:ind w:right="24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Committee may determine, at the time of granting Restricted Shares or thereafter, that all or part of such Restricted Shares shall become vested in the event that a Change in Control occurs with respect to the Company.</w:t>
      </w:r>
    </w:p>
    <w:p>
      <w:pPr>
        <w:spacing w:after="0" w:line="174" w:lineRule="exact"/>
        <w:rPr>
          <w:rFonts w:ascii="Times New Roman" w:cs="Times New Roman" w:eastAsia="Times New Roman" w:hAnsi="Times New Roman"/>
          <w:sz w:val="21"/>
          <w:szCs w:val="21"/>
          <w:color w:val="auto"/>
        </w:rPr>
      </w:pPr>
    </w:p>
    <w:p>
      <w:pPr>
        <w:jc w:val="both"/>
        <w:ind w:firstLine="757"/>
        <w:spacing w:after="0" w:line="256" w:lineRule="auto"/>
        <w:tabs>
          <w:tab w:leader="none" w:pos="130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Voting and Dividend Rights</w:t>
      </w:r>
      <w:r>
        <w:rPr>
          <w:rFonts w:ascii="Times New Roman" w:cs="Times New Roman" w:eastAsia="Times New Roman" w:hAnsi="Times New Roman"/>
          <w:sz w:val="21"/>
          <w:szCs w:val="21"/>
          <w:color w:val="auto"/>
        </w:rPr>
        <w:t>. The holders of Restricted Shares awarded under the Plan shall have the same voting,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dividend and other rights as the Company’s other stockholders. A Restricted Share Award Agreement, however, may require that the holders of Restricted Shares invest any cash dividends received in additional Restricted Shares. Such additional Restricted Shares shall be subject to the same conditions and restrictions as the Award with respect to which the dividends were paid.</w:t>
      </w:r>
    </w:p>
    <w:p>
      <w:pPr>
        <w:spacing w:after="0" w:line="157" w:lineRule="exact"/>
        <w:rPr>
          <w:rFonts w:ascii="Times New Roman" w:cs="Times New Roman" w:eastAsia="Times New Roman" w:hAnsi="Times New Roman"/>
          <w:sz w:val="21"/>
          <w:szCs w:val="21"/>
          <w:color w:val="auto"/>
        </w:rPr>
      </w:pPr>
    </w:p>
    <w:p>
      <w:pPr>
        <w:ind w:right="200" w:firstLine="757"/>
        <w:spacing w:after="0" w:line="263" w:lineRule="auto"/>
        <w:tabs>
          <w:tab w:leader="none" w:pos="130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Restrictions on Transfer of Shares</w:t>
      </w:r>
      <w:r>
        <w:rPr>
          <w:rFonts w:ascii="Times New Roman" w:cs="Times New Roman" w:eastAsia="Times New Roman" w:hAnsi="Times New Roman"/>
          <w:sz w:val="21"/>
          <w:szCs w:val="21"/>
          <w:color w:val="auto"/>
        </w:rPr>
        <w:t>. Restricted Shares shall be subject to such rights of repurchase, rights of first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refusal or other restrictions as the Committee may determine. Such restrictions shall be set forth in the applicable Restricted Share Award Agreement and shall apply in addition to any general restrictions that may apply to all holders of Shares.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7. </w:t>
      </w:r>
      <w:r>
        <w:rPr>
          <w:rFonts w:ascii="Times New Roman" w:cs="Times New Roman" w:eastAsia="Times New Roman" w:hAnsi="Times New Roman"/>
          <w:sz w:val="22"/>
          <w:szCs w:val="22"/>
          <w:b w:val="1"/>
          <w:bCs w:val="1"/>
          <w:color w:val="000000"/>
        </w:rPr>
        <w:t>TERMS AND CONDITIONS OF OPTIONS.</w:t>
      </w:r>
    </w:p>
    <w:p>
      <w:pPr>
        <w:spacing w:after="0" w:line="206" w:lineRule="exact"/>
        <w:rPr>
          <w:sz w:val="20"/>
          <w:szCs w:val="20"/>
          <w:color w:val="auto"/>
        </w:rPr>
      </w:pPr>
    </w:p>
    <w:p>
      <w:pPr>
        <w:ind w:right="40" w:firstLine="757"/>
        <w:spacing w:after="0" w:line="263" w:lineRule="auto"/>
        <w:tabs>
          <w:tab w:leader="none" w:pos="1309"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Stock Option Award Agreement</w:t>
      </w:r>
      <w:r>
        <w:rPr>
          <w:rFonts w:ascii="Times New Roman" w:cs="Times New Roman" w:eastAsia="Times New Roman" w:hAnsi="Times New Roman"/>
          <w:sz w:val="21"/>
          <w:szCs w:val="21"/>
          <w:color w:val="auto"/>
        </w:rPr>
        <w:t>. Each grant of an Option under the Plan shall be evidenced by a Stock Option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Award Agreement between the Participant and the Company. Such Option shall be subject to all applicable terms and conditions of the Plan and may be subject to any other terms and conditions which are not inconsistent with the Plan and which the</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39"/>
        <w:spacing w:after="0" w:line="232" w:lineRule="auto"/>
        <w:rPr>
          <w:sz w:val="20"/>
          <w:szCs w:val="20"/>
          <w:color w:val="auto"/>
        </w:rPr>
      </w:pPr>
      <w:r>
        <w:rPr>
          <w:rFonts w:ascii="Times New Roman" w:cs="Times New Roman" w:eastAsia="Times New Roman" w:hAnsi="Times New Roman"/>
          <w:sz w:val="22"/>
          <w:szCs w:val="22"/>
          <w:color w:val="auto"/>
        </w:rPr>
        <w:t>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06" w:name="page107"/>
    <w:bookmarkEnd w:id="106"/>
    <w:p>
      <w:pPr>
        <w:ind w:right="380"/>
        <w:spacing w:after="0" w:line="259" w:lineRule="auto"/>
        <w:rPr>
          <w:sz w:val="20"/>
          <w:szCs w:val="20"/>
          <w:color w:val="auto"/>
        </w:rPr>
      </w:pPr>
      <w:r>
        <w:rPr>
          <w:rFonts w:ascii="Times New Roman" w:cs="Times New Roman" w:eastAsia="Times New Roman" w:hAnsi="Times New Roman"/>
          <w:sz w:val="22"/>
          <w:szCs w:val="22"/>
          <w:color w:val="auto"/>
        </w:rPr>
        <w:t>Committee deems appropriate for inclusion in a Stock Option Award Agreement. The provisions of the various Stock Option Award Agreements entered into under the Plan need not be identical.</w:t>
      </w:r>
    </w:p>
    <w:p>
      <w:pPr>
        <w:spacing w:after="0" w:line="261" w:lineRule="exact"/>
        <w:rPr>
          <w:sz w:val="20"/>
          <w:szCs w:val="20"/>
          <w:color w:val="auto"/>
        </w:rPr>
      </w:pPr>
    </w:p>
    <w:p>
      <w:pPr>
        <w:ind w:firstLine="757"/>
        <w:spacing w:after="0" w:line="262" w:lineRule="auto"/>
        <w:tabs>
          <w:tab w:leader="none" w:pos="130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Number of Shares</w:t>
      </w:r>
      <w:r>
        <w:rPr>
          <w:rFonts w:ascii="Times New Roman" w:cs="Times New Roman" w:eastAsia="Times New Roman" w:hAnsi="Times New Roman"/>
          <w:sz w:val="22"/>
          <w:szCs w:val="22"/>
          <w:color w:val="auto"/>
        </w:rPr>
        <w:t>. Each Stock Option Award Agreement shall specify the number of Shares that are subject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 and shall provide for the adjustment of such number in accordance with Section 12.</w:t>
      </w:r>
    </w:p>
    <w:p>
      <w:pPr>
        <w:spacing w:after="0" w:line="257" w:lineRule="exact"/>
        <w:rPr>
          <w:rFonts w:ascii="Times New Roman" w:cs="Times New Roman" w:eastAsia="Times New Roman" w:hAnsi="Times New Roman"/>
          <w:sz w:val="22"/>
          <w:szCs w:val="22"/>
          <w:color w:val="auto"/>
        </w:rPr>
      </w:pPr>
    </w:p>
    <w:p>
      <w:pPr>
        <w:ind w:firstLine="757"/>
        <w:spacing w:after="0" w:line="237" w:lineRule="auto"/>
        <w:tabs>
          <w:tab w:leader="none" w:pos="130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Each Stock Option Award Agreement shall specify the Exercise Price. The Exercise Price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409A. Subject to the foregoing in this Section 7(c), the Exercise Price under any Option shall be determined by the Committee in its sole discretion. The Exercise Price shall be payable in one of the forms described in Section 8.</w:t>
      </w:r>
    </w:p>
    <w:p>
      <w:pPr>
        <w:spacing w:after="0" w:line="283" w:lineRule="exact"/>
        <w:rPr>
          <w:rFonts w:ascii="Times New Roman" w:cs="Times New Roman" w:eastAsia="Times New Roman" w:hAnsi="Times New Roman"/>
          <w:sz w:val="22"/>
          <w:szCs w:val="22"/>
          <w:color w:val="auto"/>
        </w:rPr>
      </w:pPr>
    </w:p>
    <w:p>
      <w:pPr>
        <w:ind w:right="80" w:firstLine="757"/>
        <w:spacing w:after="0" w:line="238" w:lineRule="auto"/>
        <w:tabs>
          <w:tab w:leader="none" w:pos="130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Withholding Taxes</w:t>
      </w:r>
      <w:r>
        <w:rPr>
          <w:rFonts w:ascii="Times New Roman" w:cs="Times New Roman" w:eastAsia="Times New Roman" w:hAnsi="Times New Roman"/>
          <w:sz w:val="22"/>
          <w:szCs w:val="22"/>
          <w:color w:val="auto"/>
        </w:rPr>
        <w:t>. As a condition to the exercise of an Option, the Participant shall make such arrangements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Committee may 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284" w:lineRule="exact"/>
        <w:rPr>
          <w:rFonts w:ascii="Times New Roman" w:cs="Times New Roman" w:eastAsia="Times New Roman" w:hAnsi="Times New Roman"/>
          <w:sz w:val="22"/>
          <w:szCs w:val="22"/>
          <w:color w:val="auto"/>
        </w:rPr>
      </w:pPr>
    </w:p>
    <w:p>
      <w:pPr>
        <w:ind w:right="80" w:firstLine="757"/>
        <w:spacing w:after="0" w:line="235" w:lineRule="auto"/>
        <w:tabs>
          <w:tab w:leader="none" w:pos="130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Exercisability and Term</w:t>
      </w:r>
      <w:r>
        <w:rPr>
          <w:rFonts w:ascii="Times New Roman" w:cs="Times New Roman" w:eastAsia="Times New Roman" w:hAnsi="Times New Roman"/>
          <w:sz w:val="22"/>
          <w:szCs w:val="22"/>
          <w:color w:val="auto"/>
        </w:rPr>
        <w:t>. Each Stock Option Award Agreement shall specify the date when all or any installment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Option is to become exercisable. The Stock Option Award Agreement shall also specify the term of the Option, which shall in no event exceed 10 years from the date of grant. A Stock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spacing w:after="0" w:line="232" w:lineRule="auto"/>
        <w:rPr>
          <w:sz w:val="20"/>
          <w:szCs w:val="20"/>
          <w:color w:val="auto"/>
        </w:rPr>
      </w:pPr>
      <w:r>
        <w:rPr>
          <w:rFonts w:ascii="Times New Roman" w:cs="Times New Roman" w:eastAsia="Times New Roman" w:hAnsi="Times New Roman"/>
          <w:sz w:val="22"/>
          <w:szCs w:val="22"/>
          <w:color w:val="auto"/>
        </w:rPr>
        <w:t>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7" w:name="page108"/>
    <w:bookmarkEnd w:id="107"/>
    <w:p>
      <w:pPr>
        <w:ind w:right="60" w:firstLine="757"/>
        <w:spacing w:after="0" w:line="237" w:lineRule="auto"/>
        <w:tabs>
          <w:tab w:leader="none" w:pos="130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of Options</w:t>
      </w:r>
      <w:r>
        <w:rPr>
          <w:rFonts w:ascii="Times New Roman" w:cs="Times New Roman" w:eastAsia="Times New Roman" w:hAnsi="Times New Roman"/>
          <w:sz w:val="22"/>
          <w:szCs w:val="22"/>
          <w:color w:val="auto"/>
        </w:rPr>
        <w:t>. Each Stock Option Award Agreement shall set forth the extent to which the Participant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281" w:lineRule="exact"/>
        <w:rPr>
          <w:rFonts w:ascii="Times New Roman" w:cs="Times New Roman" w:eastAsia="Times New Roman" w:hAnsi="Times New Roman"/>
          <w:sz w:val="22"/>
          <w:szCs w:val="22"/>
          <w:color w:val="auto"/>
        </w:rPr>
      </w:pPr>
    </w:p>
    <w:p>
      <w:pPr>
        <w:jc w:val="both"/>
        <w:ind w:right="180" w:firstLine="757"/>
        <w:spacing w:after="0" w:line="246" w:lineRule="auto"/>
        <w:tabs>
          <w:tab w:leader="none" w:pos="130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Change in Control</w:t>
      </w:r>
      <w:r>
        <w:rPr>
          <w:rFonts w:ascii="Times New Roman" w:cs="Times New Roman" w:eastAsia="Times New Roman" w:hAnsi="Times New Roman"/>
          <w:sz w:val="22"/>
          <w:szCs w:val="22"/>
          <w:color w:val="auto"/>
        </w:rPr>
        <w:t>. The Committee may determine, at the time of granting an Option or thereafter,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Option shall become exercisable as to all or part of the Shares subject to such Option in the event that a Change in Control occurs with respect to the Company.</w:t>
      </w:r>
    </w:p>
    <w:p>
      <w:pPr>
        <w:spacing w:after="0" w:line="275" w:lineRule="exact"/>
        <w:rPr>
          <w:rFonts w:ascii="Times New Roman" w:cs="Times New Roman" w:eastAsia="Times New Roman" w:hAnsi="Times New Roman"/>
          <w:sz w:val="22"/>
          <w:szCs w:val="22"/>
          <w:color w:val="auto"/>
        </w:rPr>
      </w:pPr>
    </w:p>
    <w:p>
      <w:pPr>
        <w:ind w:firstLine="757"/>
        <w:spacing w:after="0" w:line="246" w:lineRule="auto"/>
        <w:tabs>
          <w:tab w:leader="none" w:pos="130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Rights as a Stockholder</w:t>
      </w:r>
      <w:r>
        <w:rPr>
          <w:rFonts w:ascii="Times New Roman" w:cs="Times New Roman" w:eastAsia="Times New Roman" w:hAnsi="Times New Roman"/>
          <w:sz w:val="22"/>
          <w:szCs w:val="22"/>
          <w:color w:val="auto"/>
        </w:rPr>
        <w:t>. A Participant shall have no rights as a stockholder with respect to any Shares covered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his Option until the date of the issuance of a stock certificate for such Shares. No adjustments shall be made, except as provided in Section 12.</w:t>
      </w:r>
    </w:p>
    <w:p>
      <w:pPr>
        <w:spacing w:after="0" w:line="275" w:lineRule="exact"/>
        <w:rPr>
          <w:rFonts w:ascii="Times New Roman" w:cs="Times New Roman" w:eastAsia="Times New Roman" w:hAnsi="Times New Roman"/>
          <w:sz w:val="22"/>
          <w:szCs w:val="22"/>
          <w:color w:val="auto"/>
        </w:rPr>
      </w:pPr>
    </w:p>
    <w:p>
      <w:pPr>
        <w:jc w:val="both"/>
        <w:ind w:right="140" w:firstLine="757"/>
        <w:spacing w:after="0" w:line="241" w:lineRule="auto"/>
        <w:tabs>
          <w:tab w:leader="none" w:pos="130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Modification, Extension and Renewal of Options</w:t>
      </w:r>
      <w:r>
        <w:rPr>
          <w:rFonts w:ascii="Times New Roman" w:cs="Times New Roman" w:eastAsia="Times New Roman" w:hAnsi="Times New Roman"/>
          <w:sz w:val="22"/>
          <w:szCs w:val="22"/>
          <w:color w:val="auto"/>
        </w:rPr>
        <w:t>. Within the limitations of the Plan, applicable law and listing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requirements, the Committee may modify, extend or renew outstanding Options without stockholder approval. The foregoing notwithstanding, no modification of an Option shall, without the consent of the Participant, materially impair his or her rights or obligations under such Option.</w:t>
      </w:r>
    </w:p>
    <w:p>
      <w:pPr>
        <w:spacing w:after="0" w:line="279" w:lineRule="exact"/>
        <w:rPr>
          <w:rFonts w:ascii="Times New Roman" w:cs="Times New Roman" w:eastAsia="Times New Roman" w:hAnsi="Times New Roman"/>
          <w:sz w:val="22"/>
          <w:szCs w:val="22"/>
          <w:color w:val="auto"/>
        </w:rPr>
      </w:pPr>
    </w:p>
    <w:p>
      <w:pPr>
        <w:ind w:right="160" w:firstLine="757"/>
        <w:spacing w:after="0" w:line="237" w:lineRule="auto"/>
        <w:tabs>
          <w:tab w:leader="none" w:pos="130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Repricing of Options</w:t>
      </w:r>
      <w:r>
        <w:rPr>
          <w:rFonts w:ascii="Times New Roman" w:cs="Times New Roman" w:eastAsia="Times New Roman" w:hAnsi="Times New Roman"/>
          <w:sz w:val="22"/>
          <w:szCs w:val="22"/>
          <w:color w:val="auto"/>
        </w:rPr>
        <w:t>. Within the limitations of the Plan, applicable law and listing requirements, the 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may effect, at any time and from time to time, with the consent of any adversely affected Participant, (i) the reduction of the Exercise Price of any outstanding Option under the Plan or (ii) any other action that is treated as a repricing under generally accepted accounting principles, in each case without stockholder approval;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 such reduction or action may be effected if it is determined, in the Company’s sole discretion, that such reduction or action would result in any such outstanding Option becoming subject to the requirements of Section 409A.</w:t>
      </w:r>
    </w:p>
    <w:p>
      <w:pPr>
        <w:spacing w:after="0" w:line="283" w:lineRule="exact"/>
        <w:rPr>
          <w:rFonts w:ascii="Times New Roman" w:cs="Times New Roman" w:eastAsia="Times New Roman" w:hAnsi="Times New Roman"/>
          <w:sz w:val="22"/>
          <w:szCs w:val="22"/>
          <w:color w:val="auto"/>
        </w:rPr>
      </w:pPr>
    </w:p>
    <w:p>
      <w:pPr>
        <w:ind w:right="100" w:firstLine="757"/>
        <w:spacing w:after="0" w:line="241" w:lineRule="auto"/>
        <w:tabs>
          <w:tab w:leader="none" w:pos="130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Restrictions on Transfer of Shares</w:t>
      </w:r>
      <w:r>
        <w:rPr>
          <w:rFonts w:ascii="Times New Roman" w:cs="Times New Roman" w:eastAsia="Times New Roman" w:hAnsi="Times New Roman"/>
          <w:sz w:val="22"/>
          <w:szCs w:val="22"/>
          <w:color w:val="auto"/>
        </w:rPr>
        <w:t>. Any Shares issued upon exercise of an Option shall be subject to such special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forfeiture conditions, rights of repurchase, rights of first refusal and other transfer restrictions as the Committee may determine. Such restrictions shall be set forth in the applicable Stock Option Award Agreement and shall apply in addition to any general restrictions that may apply to all holders of Shares.</w:t>
      </w:r>
    </w:p>
    <w:p>
      <w:pPr>
        <w:spacing w:after="0" w:line="279" w:lineRule="exact"/>
        <w:rPr>
          <w:rFonts w:ascii="Times New Roman" w:cs="Times New Roman" w:eastAsia="Times New Roman" w:hAnsi="Times New Roman"/>
          <w:sz w:val="22"/>
          <w:szCs w:val="22"/>
          <w:color w:val="auto"/>
        </w:rPr>
      </w:pPr>
    </w:p>
    <w:p>
      <w:pPr>
        <w:ind w:right="80" w:firstLine="757"/>
        <w:spacing w:after="0" w:line="246" w:lineRule="auto"/>
        <w:tabs>
          <w:tab w:leader="none" w:pos="130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Buyout Provisions</w:t>
      </w:r>
      <w:r>
        <w:rPr>
          <w:rFonts w:ascii="Times New Roman" w:cs="Times New Roman" w:eastAsia="Times New Roman" w:hAnsi="Times New Roman"/>
          <w:sz w:val="22"/>
          <w:szCs w:val="22"/>
          <w:color w:val="auto"/>
        </w:rPr>
        <w:t>. The Committee may at any time (i) offer to buy out for a payment in cash or cash equivalents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Option previously granted or (ii) authorize a Participant to elect to cash out an Option previously granted, in either case at such time and based upon such terms and conditions as the Committee shall establish.</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b w:val="1"/>
          <w:bCs w:val="1"/>
          <w:color w:val="010000"/>
        </w:rPr>
        <w:t xml:space="preserve">SECTION 8. </w:t>
      </w:r>
      <w:r>
        <w:rPr>
          <w:rFonts w:ascii="Times New Roman" w:cs="Times New Roman" w:eastAsia="Times New Roman" w:hAnsi="Times New Roman"/>
          <w:sz w:val="22"/>
          <w:szCs w:val="22"/>
          <w:b w:val="1"/>
          <w:bCs w:val="1"/>
          <w:color w:val="000000"/>
        </w:rPr>
        <w:t>PAYMENT FOR SHARES.</w:t>
      </w:r>
    </w:p>
    <w:p>
      <w:pPr>
        <w:spacing w:after="0" w:line="207" w:lineRule="exact"/>
        <w:rPr>
          <w:sz w:val="20"/>
          <w:szCs w:val="20"/>
          <w:color w:val="auto"/>
        </w:rPr>
      </w:pPr>
    </w:p>
    <w:p>
      <w:pPr>
        <w:jc w:val="both"/>
        <w:ind w:right="340" w:firstLine="757"/>
        <w:spacing w:after="0" w:line="246" w:lineRule="auto"/>
        <w:tabs>
          <w:tab w:leader="none" w:pos="130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Rule</w:t>
      </w:r>
      <w:r>
        <w:rPr>
          <w:rFonts w:ascii="Times New Roman" w:cs="Times New Roman" w:eastAsia="Times New Roman" w:hAnsi="Times New Roman"/>
          <w:sz w:val="22"/>
          <w:szCs w:val="22"/>
          <w:color w:val="auto"/>
        </w:rPr>
        <w:t>. The entire Exercise Price or Purchase Price of Shares issued under the Plan shall be payable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lawful money of the United States of America at the time when such Shares are purchased, except as provided in Section 8(b) through Section 8(h) below.</w:t>
      </w:r>
    </w:p>
    <w:p>
      <w:pPr>
        <w:spacing w:after="0" w:line="167" w:lineRule="exact"/>
        <w:rPr>
          <w:rFonts w:ascii="Times New Roman" w:cs="Times New Roman" w:eastAsia="Times New Roman" w:hAnsi="Times New Roman"/>
          <w:sz w:val="22"/>
          <w:szCs w:val="22"/>
          <w:color w:val="auto"/>
        </w:rPr>
      </w:pPr>
    </w:p>
    <w:p>
      <w:pPr>
        <w:ind w:right="40" w:firstLine="757"/>
        <w:spacing w:after="0" w:line="237" w:lineRule="auto"/>
        <w:tabs>
          <w:tab w:leader="none" w:pos="130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Surrender of Stock</w:t>
      </w:r>
      <w:r>
        <w:rPr>
          <w:rFonts w:ascii="Times New Roman" w:cs="Times New Roman" w:eastAsia="Times New Roman" w:hAnsi="Times New Roman"/>
          <w:sz w:val="22"/>
          <w:szCs w:val="22"/>
          <w:color w:val="auto"/>
        </w:rPr>
        <w:t>. To the extent that a Stock Option Award Agreement so provides, payment may be made all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part by surrendering, or 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175" w:lineRule="exact"/>
        <w:rPr>
          <w:rFonts w:ascii="Times New Roman" w:cs="Times New Roman" w:eastAsia="Times New Roman" w:hAnsi="Times New Roman"/>
          <w:sz w:val="22"/>
          <w:szCs w:val="22"/>
          <w:color w:val="auto"/>
        </w:rPr>
      </w:pPr>
    </w:p>
    <w:p>
      <w:pPr>
        <w:ind w:right="360" w:firstLine="757"/>
        <w:spacing w:after="0" w:line="241" w:lineRule="auto"/>
        <w:tabs>
          <w:tab w:leader="none" w:pos="130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Services To Be Rendered</w:t>
      </w:r>
      <w:r>
        <w:rPr>
          <w:rFonts w:ascii="Times New Roman" w:cs="Times New Roman" w:eastAsia="Times New Roman" w:hAnsi="Times New Roman"/>
          <w:sz w:val="22"/>
          <w:szCs w:val="22"/>
          <w:color w:val="auto"/>
        </w:rPr>
        <w:t>. At the discretion of the Committee, Shares may be awarded under the Plan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consideration of services to be rendered to the Company or a Subsidiary. If Shares are awarded without the payment of a Purchase Price in cash, the Committee shall make a determination (at the time of the Award) of the value of the services to be rendered by the Participant and the sufficiency of the consideration to meet the requirements of Section 6(b).</w:t>
      </w:r>
    </w:p>
    <w:p>
      <w:pPr>
        <w:spacing w:after="0" w:line="171" w:lineRule="exact"/>
        <w:rPr>
          <w:rFonts w:ascii="Times New Roman" w:cs="Times New Roman" w:eastAsia="Times New Roman" w:hAnsi="Times New Roman"/>
          <w:sz w:val="22"/>
          <w:szCs w:val="22"/>
          <w:color w:val="auto"/>
        </w:rPr>
      </w:pPr>
    </w:p>
    <w:p>
      <w:pPr>
        <w:jc w:val="both"/>
        <w:ind w:right="40" w:firstLine="757"/>
        <w:spacing w:after="0" w:line="246" w:lineRule="auto"/>
        <w:tabs>
          <w:tab w:leader="none" w:pos="130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Cashless Exercise</w:t>
      </w:r>
      <w:r>
        <w:rPr>
          <w:rFonts w:ascii="Times New Roman" w:cs="Times New Roman" w:eastAsia="Times New Roman" w:hAnsi="Times New Roman"/>
          <w:sz w:val="22"/>
          <w:szCs w:val="22"/>
          <w:color w:val="auto"/>
        </w:rPr>
        <w:t>. To the extent that a Stock Option Award Agreement so provides, payment may be made all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part by delivery (on a form prescribed by the Committee) of an irrevocable direction to a securities broker to sell Shares and to deliver all or part of the sale proceeds to the Company in payment of the aggregate Exercise Price.</w:t>
      </w:r>
    </w:p>
    <w:p>
      <w:pPr>
        <w:spacing w:after="0" w:line="167" w:lineRule="exact"/>
        <w:rPr>
          <w:rFonts w:ascii="Times New Roman" w:cs="Times New Roman" w:eastAsia="Times New Roman" w:hAnsi="Times New Roman"/>
          <w:sz w:val="22"/>
          <w:szCs w:val="22"/>
          <w:color w:val="auto"/>
        </w:rPr>
      </w:pPr>
    </w:p>
    <w:p>
      <w:pPr>
        <w:ind w:right="40" w:firstLine="757"/>
        <w:spacing w:after="0" w:line="241" w:lineRule="auto"/>
        <w:tabs>
          <w:tab w:leader="none" w:pos="130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Exercise/Pledge</w:t>
      </w:r>
      <w:r>
        <w:rPr>
          <w:rFonts w:ascii="Times New Roman" w:cs="Times New Roman" w:eastAsia="Times New Roman" w:hAnsi="Times New Roman"/>
          <w:sz w:val="22"/>
          <w:szCs w:val="22"/>
          <w:color w:val="auto"/>
        </w:rPr>
        <w:t>. To the extent that a Stock Option Award Agreement so provides, payment may be made all or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 by delivery (on a form prescribed by the Committee) of an irrevocable direction to a securities broker or lender to pledge Shares, as security for a loan, and to deliver all or part of the loan proceeds to the Company in payment of the aggregate Exercise Price.</w:t>
      </w:r>
    </w:p>
    <w:p>
      <w:pPr>
        <w:spacing w:after="0" w:line="171" w:lineRule="exact"/>
        <w:rPr>
          <w:rFonts w:ascii="Times New Roman" w:cs="Times New Roman" w:eastAsia="Times New Roman" w:hAnsi="Times New Roman"/>
          <w:sz w:val="22"/>
          <w:szCs w:val="22"/>
          <w:color w:val="auto"/>
        </w:rPr>
      </w:pPr>
    </w:p>
    <w:p>
      <w:pPr>
        <w:ind w:firstLine="757"/>
        <w:spacing w:after="0" w:line="237" w:lineRule="auto"/>
        <w:tabs>
          <w:tab w:leader="none" w:pos="130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Net Exercise</w:t>
      </w:r>
      <w:r>
        <w:rPr>
          <w:rFonts w:ascii="Times New Roman" w:cs="Times New Roman" w:eastAsia="Times New Roman" w:hAnsi="Times New Roman"/>
          <w:sz w:val="22"/>
          <w:szCs w:val="22"/>
          <w:color w:val="auto"/>
        </w:rPr>
        <w:t>. To the extent that a Stock Option Award Agreement so provides, payment may be made all or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Stock Option Agreement.</w:t>
      </w:r>
    </w:p>
    <w:p>
      <w:pPr>
        <w:spacing w:after="0" w:line="175" w:lineRule="exact"/>
        <w:rPr>
          <w:rFonts w:ascii="Times New Roman" w:cs="Times New Roman" w:eastAsia="Times New Roman" w:hAnsi="Times New Roman"/>
          <w:sz w:val="22"/>
          <w:szCs w:val="22"/>
          <w:color w:val="auto"/>
        </w:rPr>
      </w:pPr>
    </w:p>
    <w:p>
      <w:pPr>
        <w:ind w:right="220" w:firstLine="757"/>
        <w:spacing w:after="0" w:line="246" w:lineRule="auto"/>
        <w:tabs>
          <w:tab w:leader="none" w:pos="130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Promissory Note</w:t>
      </w:r>
      <w:r>
        <w:rPr>
          <w:rFonts w:ascii="Times New Roman" w:cs="Times New Roman" w:eastAsia="Times New Roman" w:hAnsi="Times New Roman"/>
          <w:sz w:val="22"/>
          <w:szCs w:val="22"/>
          <w:color w:val="auto"/>
        </w:rPr>
        <w:t>. To the extent that a Stock Option Award Agreement or Restricted Share Award Agreement so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provides, payment may be made all or in part by delivering (on a form prescribed by the Company) a full-recourse promissory note.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9" w:name="page110"/>
    <w:bookmarkEnd w:id="109"/>
    <w:p>
      <w:pPr>
        <w:ind w:right="320" w:firstLine="757"/>
        <w:spacing w:after="0" w:line="284" w:lineRule="auto"/>
        <w:tabs>
          <w:tab w:leader="none" w:pos="130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Forms of Payment</w:t>
      </w:r>
      <w:r>
        <w:rPr>
          <w:rFonts w:ascii="Times New Roman" w:cs="Times New Roman" w:eastAsia="Times New Roman" w:hAnsi="Times New Roman"/>
          <w:sz w:val="21"/>
          <w:szCs w:val="21"/>
          <w:color w:val="auto"/>
        </w:rPr>
        <w:t>. To the extent that a Stock Option Award Agreement or Restricted Share Award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so provides, payment may be made in any other form that is consistent with applicable laws, regulations and rules.</w:t>
      </w:r>
    </w:p>
    <w:p>
      <w:pPr>
        <w:spacing w:after="0" w:line="129" w:lineRule="exact"/>
        <w:rPr>
          <w:rFonts w:ascii="Times New Roman" w:cs="Times New Roman" w:eastAsia="Times New Roman" w:hAnsi="Times New Roman"/>
          <w:sz w:val="21"/>
          <w:szCs w:val="21"/>
          <w:color w:val="auto"/>
        </w:rPr>
      </w:pPr>
    </w:p>
    <w:p>
      <w:pPr>
        <w:ind w:right="120" w:firstLine="757"/>
        <w:spacing w:after="0" w:line="246" w:lineRule="auto"/>
        <w:tabs>
          <w:tab w:leader="none" w:pos="130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Limitations under Applicable Law</w:t>
      </w:r>
      <w:r>
        <w:rPr>
          <w:rFonts w:ascii="Times New Roman" w:cs="Times New Roman" w:eastAsia="Times New Roman" w:hAnsi="Times New Roman"/>
          <w:sz w:val="22"/>
          <w:szCs w:val="22"/>
          <w:color w:val="auto"/>
        </w:rPr>
        <w:t>. Notwithstanding anything herein or in a Stock Option Award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Share Award Agreement to the contrary, payment may not be made in any form that is unlawful, as determined by the Committee in its sole discretion.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9. </w:t>
      </w:r>
      <w:r>
        <w:rPr>
          <w:rFonts w:ascii="Times New Roman" w:cs="Times New Roman" w:eastAsia="Times New Roman" w:hAnsi="Times New Roman"/>
          <w:sz w:val="22"/>
          <w:szCs w:val="22"/>
          <w:b w:val="1"/>
          <w:bCs w:val="1"/>
          <w:color w:val="000000"/>
        </w:rPr>
        <w:t>STOCK APPRECIATION RIGHTS.</w:t>
      </w:r>
    </w:p>
    <w:p>
      <w:pPr>
        <w:spacing w:after="0" w:line="206" w:lineRule="exact"/>
        <w:rPr>
          <w:sz w:val="20"/>
          <w:szCs w:val="20"/>
          <w:color w:val="auto"/>
        </w:rPr>
      </w:pPr>
    </w:p>
    <w:p>
      <w:pPr>
        <w:ind w:right="60" w:firstLine="757"/>
        <w:spacing w:after="0" w:line="241" w:lineRule="auto"/>
        <w:tabs>
          <w:tab w:leader="none" w:pos="130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SAR Award Agreement</w:t>
      </w:r>
      <w:r>
        <w:rPr>
          <w:rFonts w:ascii="Times New Roman" w:cs="Times New Roman" w:eastAsia="Times New Roman" w:hAnsi="Times New Roman"/>
          <w:sz w:val="22"/>
          <w:szCs w:val="22"/>
          <w:color w:val="auto"/>
        </w:rPr>
        <w:t>. Each grant of a SAR under the Plan shall be evidenced by a SAR Award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71" w:lineRule="exact"/>
        <w:rPr>
          <w:rFonts w:ascii="Times New Roman" w:cs="Times New Roman" w:eastAsia="Times New Roman" w:hAnsi="Times New Roman"/>
          <w:sz w:val="22"/>
          <w:szCs w:val="22"/>
          <w:color w:val="auto"/>
        </w:rPr>
      </w:pPr>
    </w:p>
    <w:p>
      <w:pPr>
        <w:ind w:right="300" w:firstLine="757"/>
        <w:spacing w:after="0" w:line="262" w:lineRule="auto"/>
        <w:tabs>
          <w:tab w:leader="none" w:pos="130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Number of Shares</w:t>
      </w:r>
      <w:r>
        <w:rPr>
          <w:rFonts w:ascii="Times New Roman" w:cs="Times New Roman" w:eastAsia="Times New Roman" w:hAnsi="Times New Roman"/>
          <w:sz w:val="22"/>
          <w:szCs w:val="22"/>
          <w:color w:val="auto"/>
        </w:rPr>
        <w:t>. Each SAR Award Agreement shall specify the number of Shares to which the SAR pertains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shall provide for the adjustment of such number in accordance with Section 12.</w:t>
      </w:r>
    </w:p>
    <w:p>
      <w:pPr>
        <w:spacing w:after="0" w:line="149" w:lineRule="exact"/>
        <w:rPr>
          <w:rFonts w:ascii="Times New Roman" w:cs="Times New Roman" w:eastAsia="Times New Roman" w:hAnsi="Times New Roman"/>
          <w:sz w:val="22"/>
          <w:szCs w:val="22"/>
          <w:color w:val="auto"/>
        </w:rPr>
      </w:pPr>
    </w:p>
    <w:p>
      <w:pPr>
        <w:ind w:right="40" w:firstLine="757"/>
        <w:spacing w:after="0" w:line="238" w:lineRule="auto"/>
        <w:tabs>
          <w:tab w:leader="none" w:pos="130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Each SAR Award Agreement shall specify the Exercise Price. The Exercise Price of a SAR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be less than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409A. Subject to the foregoing in this Section 9(c), the Exercise Price under any SAR shall be determined by the Committee in its sole discretion.</w:t>
      </w:r>
    </w:p>
    <w:p>
      <w:pPr>
        <w:spacing w:after="0" w:line="176" w:lineRule="exact"/>
        <w:rPr>
          <w:rFonts w:ascii="Times New Roman" w:cs="Times New Roman" w:eastAsia="Times New Roman" w:hAnsi="Times New Roman"/>
          <w:sz w:val="22"/>
          <w:szCs w:val="22"/>
          <w:color w:val="auto"/>
        </w:rPr>
      </w:pPr>
    </w:p>
    <w:p>
      <w:pPr>
        <w:ind w:right="40" w:firstLine="757"/>
        <w:spacing w:after="0" w:line="235" w:lineRule="auto"/>
        <w:tabs>
          <w:tab w:leader="none" w:pos="130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Exercisability and Term</w:t>
      </w:r>
      <w:r>
        <w:rPr>
          <w:rFonts w:ascii="Times New Roman" w:cs="Times New Roman" w:eastAsia="Times New Roman" w:hAnsi="Times New Roman"/>
          <w:sz w:val="22"/>
          <w:szCs w:val="22"/>
          <w:color w:val="auto"/>
        </w:rPr>
        <w:t>. Each SAR Award Agreement shall specify the date when all or any installment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SAR is to become exercisable. The SAR Award Agreement shall also specify the term of the SAR, which shall in no event exceed 10 years from the date of grant. A SAR Award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Option at the time of grant or thereafter. A SAR granted under the Plan may provide that it will be exercisable only in the event of a Change in Control.</w:t>
      </w:r>
    </w:p>
    <w:p>
      <w:pPr>
        <w:spacing w:after="0" w:line="178" w:lineRule="exact"/>
        <w:rPr>
          <w:rFonts w:ascii="Times New Roman" w:cs="Times New Roman" w:eastAsia="Times New Roman" w:hAnsi="Times New Roman"/>
          <w:sz w:val="22"/>
          <w:szCs w:val="22"/>
          <w:color w:val="auto"/>
        </w:rPr>
      </w:pPr>
    </w:p>
    <w:p>
      <w:pPr>
        <w:jc w:val="both"/>
        <w:ind w:firstLine="757"/>
        <w:spacing w:after="0" w:line="246" w:lineRule="auto"/>
        <w:tabs>
          <w:tab w:leader="none" w:pos="130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Change in Control</w:t>
      </w:r>
      <w:r>
        <w:rPr>
          <w:rFonts w:ascii="Times New Roman" w:cs="Times New Roman" w:eastAsia="Times New Roman" w:hAnsi="Times New Roman"/>
          <w:sz w:val="22"/>
          <w:szCs w:val="22"/>
          <w:color w:val="auto"/>
        </w:rPr>
        <w:t>. The Committee may determine, at the time of granting a SAR or thereafter, that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SAR shall become fully exercisable as to all Shares subject to such SAR in the event that a Change in Control occurs with respect to the Company.</w:t>
      </w:r>
    </w:p>
    <w:p>
      <w:pPr>
        <w:spacing w:after="0" w:line="167" w:lineRule="exact"/>
        <w:rPr>
          <w:rFonts w:ascii="Times New Roman" w:cs="Times New Roman" w:eastAsia="Times New Roman" w:hAnsi="Times New Roman"/>
          <w:sz w:val="22"/>
          <w:szCs w:val="22"/>
          <w:color w:val="auto"/>
        </w:rPr>
      </w:pPr>
    </w:p>
    <w:p>
      <w:pPr>
        <w:ind w:right="340" w:firstLine="757"/>
        <w:spacing w:after="0" w:line="246" w:lineRule="auto"/>
        <w:tabs>
          <w:tab w:leader="none" w:pos="130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of SARs</w:t>
      </w:r>
      <w:r>
        <w:rPr>
          <w:rFonts w:ascii="Times New Roman" w:cs="Times New Roman" w:eastAsia="Times New Roman" w:hAnsi="Times New Roman"/>
          <w:sz w:val="22"/>
          <w:szCs w:val="22"/>
          <w:color w:val="auto"/>
        </w:rPr>
        <w:t>. Upon exercise of a SAR, the Participant (or any person having the right to exercise the SAR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his or her death) shall receive from the Company (i) Shares, (ii) cash or (iii) a combination of Shares and cash, as the Committee shall determine. The amount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0" w:name="page111"/>
    <w:bookmarkEnd w:id="110"/>
    <w:p>
      <w:pPr>
        <w:ind w:right="260"/>
        <w:spacing w:after="0" w:line="258" w:lineRule="auto"/>
        <w:rPr>
          <w:sz w:val="20"/>
          <w:szCs w:val="20"/>
          <w:color w:val="auto"/>
        </w:rPr>
      </w:pPr>
      <w:r>
        <w:rPr>
          <w:rFonts w:ascii="Times New Roman" w:cs="Times New Roman" w:eastAsia="Times New Roman" w:hAnsi="Times New Roman"/>
          <w:sz w:val="22"/>
          <w:szCs w:val="22"/>
          <w:color w:val="auto"/>
        </w:rPr>
        <w:t>cash and/or the Fair Market Value of Shares received upon exercise of SARs shall, in the aggregate, be equal to the amount by which the Fair Market Value (on the date of surrender) of the Shares subject to the SARs exceeds the Exercise Price.</w:t>
      </w:r>
    </w:p>
    <w:p>
      <w:pPr>
        <w:spacing w:after="0" w:line="155" w:lineRule="exact"/>
        <w:rPr>
          <w:sz w:val="20"/>
          <w:szCs w:val="20"/>
          <w:color w:val="auto"/>
        </w:rPr>
      </w:pPr>
    </w:p>
    <w:p>
      <w:pPr>
        <w:jc w:val="both"/>
        <w:ind w:right="360" w:firstLine="757"/>
        <w:spacing w:after="0" w:line="241" w:lineRule="auto"/>
        <w:tabs>
          <w:tab w:leader="none" w:pos="130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Modification, Extension or Assumption of SARs</w:t>
      </w:r>
      <w:r>
        <w:rPr>
          <w:rFonts w:ascii="Times New Roman" w:cs="Times New Roman" w:eastAsia="Times New Roman" w:hAnsi="Times New Roman"/>
          <w:sz w:val="22"/>
          <w:szCs w:val="22"/>
          <w:color w:val="auto"/>
        </w:rPr>
        <w:t>. Within the limitations of the Plan, applicable law and listing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requirements, the Committee may modify, extend or assume outstanding SARs without stockholder approval. The foregoing notwithstanding, no modification of a SAR shall, without the consent of the holder, materially impair his or her rights or obligations under such SAR.</w:t>
      </w:r>
    </w:p>
    <w:p>
      <w:pPr>
        <w:spacing w:after="0" w:line="171" w:lineRule="exact"/>
        <w:rPr>
          <w:rFonts w:ascii="Times New Roman" w:cs="Times New Roman" w:eastAsia="Times New Roman" w:hAnsi="Times New Roman"/>
          <w:sz w:val="22"/>
          <w:szCs w:val="22"/>
          <w:color w:val="auto"/>
        </w:rPr>
      </w:pPr>
    </w:p>
    <w:p>
      <w:pPr>
        <w:ind w:right="220" w:firstLine="757"/>
        <w:spacing w:after="0" w:line="237" w:lineRule="auto"/>
        <w:tabs>
          <w:tab w:leader="none" w:pos="130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Repricing of SARs</w:t>
      </w:r>
      <w:r>
        <w:rPr>
          <w:rFonts w:ascii="Times New Roman" w:cs="Times New Roman" w:eastAsia="Times New Roman" w:hAnsi="Times New Roman"/>
          <w:sz w:val="22"/>
          <w:szCs w:val="22"/>
          <w:color w:val="auto"/>
        </w:rPr>
        <w:t>. Within the limitations of the Plan, applicable law and listing requirements, the 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may effect, at any time and from time to time, with the consent of any adversely affected Participant, (i) the reduction of the Exercise Price of any outstanding SAR under the Plan or (ii) any other action that is treated as a repricing under generally accepted accounting principles, in each case without stockholder approval;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 such reduction or action may be effected if it is determined, in the Company’s sole discretion, that such reduction or action would result in any such outstanding SAR becoming subject to the requirements of Section 409A.</w:t>
      </w:r>
    </w:p>
    <w:p>
      <w:pPr>
        <w:spacing w:after="0" w:line="175" w:lineRule="exact"/>
        <w:rPr>
          <w:rFonts w:ascii="Times New Roman" w:cs="Times New Roman" w:eastAsia="Times New Roman" w:hAnsi="Times New Roman"/>
          <w:sz w:val="22"/>
          <w:szCs w:val="22"/>
          <w:color w:val="auto"/>
        </w:rPr>
      </w:pPr>
    </w:p>
    <w:p>
      <w:pPr>
        <w:jc w:val="both"/>
        <w:ind w:right="20" w:firstLine="757"/>
        <w:spacing w:after="0" w:line="246" w:lineRule="auto"/>
        <w:tabs>
          <w:tab w:leader="none" w:pos="130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Buyout Provisions</w:t>
      </w:r>
      <w:r>
        <w:rPr>
          <w:rFonts w:ascii="Times New Roman" w:cs="Times New Roman" w:eastAsia="Times New Roman" w:hAnsi="Times New Roman"/>
          <w:sz w:val="22"/>
          <w:szCs w:val="22"/>
          <w:color w:val="auto"/>
        </w:rPr>
        <w:t>. The Committee may at any time (i) offer to buy out for a payment in cash or cash equivalents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SAR previously granted, or (ii) authorize a Participant to elect to cash out a SAR previously granted, in either case at such time and based upon such terms and conditions as the Committee shall establish.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10. </w:t>
      </w:r>
      <w:r>
        <w:rPr>
          <w:rFonts w:ascii="Times New Roman" w:cs="Times New Roman" w:eastAsia="Times New Roman" w:hAnsi="Times New Roman"/>
          <w:sz w:val="22"/>
          <w:szCs w:val="22"/>
          <w:b w:val="1"/>
          <w:bCs w:val="1"/>
          <w:color w:val="000000"/>
        </w:rPr>
        <w:t>STOCK UNITS.</w:t>
      </w:r>
    </w:p>
    <w:p>
      <w:pPr>
        <w:spacing w:after="0" w:line="206" w:lineRule="exact"/>
        <w:rPr>
          <w:sz w:val="20"/>
          <w:szCs w:val="20"/>
          <w:color w:val="auto"/>
        </w:rPr>
      </w:pPr>
    </w:p>
    <w:p>
      <w:pPr>
        <w:ind w:firstLine="757"/>
        <w:spacing w:after="0" w:line="241" w:lineRule="auto"/>
        <w:tabs>
          <w:tab w:leader="none" w:pos="130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Unit Award Agreement</w:t>
      </w:r>
      <w:r>
        <w:rPr>
          <w:rFonts w:ascii="Times New Roman" w:cs="Times New Roman" w:eastAsia="Times New Roman" w:hAnsi="Times New Roman"/>
          <w:sz w:val="22"/>
          <w:szCs w:val="22"/>
          <w:color w:val="auto"/>
        </w:rPr>
        <w:t>. Each grant of Stock Units under the Plan shall be evidenced by a Stock Unit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between the Participant and the Company. Such Stock Units shall be subject to all applicable terms of the Plan and may be subject to any other terms that are not inconsistent with the Plan. The provisions of the various Stock Unit Award Agreements entered into under the Plan need not be identical.</w:t>
      </w:r>
    </w:p>
    <w:p>
      <w:pPr>
        <w:spacing w:after="0" w:line="171" w:lineRule="exact"/>
        <w:rPr>
          <w:rFonts w:ascii="Times New Roman" w:cs="Times New Roman" w:eastAsia="Times New Roman" w:hAnsi="Times New Roman"/>
          <w:sz w:val="22"/>
          <w:szCs w:val="22"/>
          <w:color w:val="auto"/>
        </w:rPr>
      </w:pPr>
    </w:p>
    <w:p>
      <w:pPr>
        <w:ind w:right="360" w:firstLine="757"/>
        <w:spacing w:after="0" w:line="262" w:lineRule="auto"/>
        <w:tabs>
          <w:tab w:leader="none" w:pos="130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for Awards</w:t>
      </w:r>
      <w:r>
        <w:rPr>
          <w:rFonts w:ascii="Times New Roman" w:cs="Times New Roman" w:eastAsia="Times New Roman" w:hAnsi="Times New Roman"/>
          <w:sz w:val="22"/>
          <w:szCs w:val="22"/>
          <w:color w:val="auto"/>
        </w:rPr>
        <w:t>. To the extent that an Award is granted in the form of Stock Units, no cash consideration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required of the Award recipients.</w:t>
      </w:r>
    </w:p>
    <w:p>
      <w:pPr>
        <w:spacing w:after="0" w:line="149" w:lineRule="exact"/>
        <w:rPr>
          <w:rFonts w:ascii="Times New Roman" w:cs="Times New Roman" w:eastAsia="Times New Roman" w:hAnsi="Times New Roman"/>
          <w:sz w:val="22"/>
          <w:szCs w:val="22"/>
          <w:color w:val="auto"/>
        </w:rPr>
      </w:pPr>
    </w:p>
    <w:p>
      <w:pPr>
        <w:ind w:right="20" w:firstLine="757"/>
        <w:spacing w:after="0" w:line="238" w:lineRule="auto"/>
        <w:tabs>
          <w:tab w:leader="none" w:pos="130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Conditions</w:t>
      </w:r>
      <w:r>
        <w:rPr>
          <w:rFonts w:ascii="Times New Roman" w:cs="Times New Roman" w:eastAsia="Times New Roman" w:hAnsi="Times New Roman"/>
          <w:sz w:val="22"/>
          <w:szCs w:val="22"/>
          <w:color w:val="auto"/>
        </w:rPr>
        <w:t>. Each Award of Stock Units may or may not be subject to vesting. Vesting shall occur, in full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in installments, upon satisfaction of the conditions specified in the Stock Unit Award Agreement. A Stock Unit Award Agreement may provide for accelerated vesting in the event of the Participant’s death, Disability or retirement or other events. The Committee may determine, at the time of granting Stock Units or thereafter, that all or part of such Stock Units shall become vested in the event that a Change in Control occurs with respect to the Company.</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59"/>
        <w:spacing w:after="0" w:line="232" w:lineRule="auto"/>
        <w:rPr>
          <w:sz w:val="20"/>
          <w:szCs w:val="20"/>
          <w:color w:val="auto"/>
        </w:rPr>
      </w:pPr>
      <w:r>
        <w:rPr>
          <w:rFonts w:ascii="Times New Roman" w:cs="Times New Roman" w:eastAsia="Times New Roman" w:hAnsi="Times New Roman"/>
          <w:sz w:val="22"/>
          <w:szCs w:val="22"/>
          <w:color w:val="auto"/>
        </w:rPr>
        <w:t>13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111" w:name="page112"/>
    <w:bookmarkEnd w:id="111"/>
    <w:p>
      <w:pPr>
        <w:ind w:right="40" w:firstLine="757"/>
        <w:spacing w:after="0" w:line="236" w:lineRule="auto"/>
        <w:tabs>
          <w:tab w:leader="none" w:pos="130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 and Dividend Rights</w:t>
      </w:r>
      <w:r>
        <w:rPr>
          <w:rFonts w:ascii="Times New Roman" w:cs="Times New Roman" w:eastAsia="Times New Roman" w:hAnsi="Times New Roman"/>
          <w:sz w:val="22"/>
          <w:szCs w:val="22"/>
          <w:color w:val="auto"/>
        </w:rPr>
        <w:t>. The holders of Stock Units shall have no voting rights. Prior to settlement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forfeiture, any Stock Unit awarded 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Prior to distribution, any dividend equivalents which are not paid shall be subject to the same conditions and restrictions (including without limitation, any forfeiture conditions) as the Stock Units to which they attach.</w:t>
      </w:r>
    </w:p>
    <w:p>
      <w:pPr>
        <w:spacing w:after="0" w:line="174" w:lineRule="exact"/>
        <w:rPr>
          <w:rFonts w:ascii="Times New Roman" w:cs="Times New Roman" w:eastAsia="Times New Roman" w:hAnsi="Times New Roman"/>
          <w:sz w:val="22"/>
          <w:szCs w:val="22"/>
          <w:color w:val="auto"/>
        </w:rPr>
      </w:pPr>
    </w:p>
    <w:p>
      <w:pPr>
        <w:ind w:firstLine="757"/>
        <w:spacing w:after="0" w:line="234" w:lineRule="auto"/>
        <w:tabs>
          <w:tab w:leader="none" w:pos="130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and Time of Settlement of Stock Units</w:t>
      </w:r>
      <w:r>
        <w:rPr>
          <w:rFonts w:ascii="Times New Roman" w:cs="Times New Roman" w:eastAsia="Times New Roman" w:hAnsi="Times New Roman"/>
          <w:sz w:val="22"/>
          <w:szCs w:val="22"/>
          <w:color w:val="auto"/>
        </w:rPr>
        <w:t>. Settlement of vested Stock Units may be made in the form of (i)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cash, (ii) Shares or (iii) any 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A Stock Unit Award Agreement may provide that vested Stock Units may be settled in a lump sum or in installments. A Stock Unit Award Agreement may provide that the distribution may occur or commence when all vesting conditions applicable to the Stock Units have been satisfied or have lapsed, or it may be deferred to any later date, subject to compliance with Section 409A. The amount of a deferred distribution may be increased by an interest factor or by dividend equivalents. Until an Award of Stock Units is settled, the number of such Stock Units shall be subject to adjustment pursuant to Section 12.</w:t>
      </w:r>
    </w:p>
    <w:p>
      <w:pPr>
        <w:spacing w:after="0" w:line="179" w:lineRule="exact"/>
        <w:rPr>
          <w:rFonts w:ascii="Times New Roman" w:cs="Times New Roman" w:eastAsia="Times New Roman" w:hAnsi="Times New Roman"/>
          <w:sz w:val="22"/>
          <w:szCs w:val="22"/>
          <w:color w:val="auto"/>
        </w:rPr>
      </w:pPr>
    </w:p>
    <w:p>
      <w:pPr>
        <w:ind w:right="180" w:firstLine="757"/>
        <w:spacing w:after="0" w:line="237" w:lineRule="auto"/>
        <w:tabs>
          <w:tab w:leader="none" w:pos="130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Death of Participant</w:t>
      </w:r>
      <w:r>
        <w:rPr>
          <w:rFonts w:ascii="Times New Roman" w:cs="Times New Roman" w:eastAsia="Times New Roman" w:hAnsi="Times New Roman"/>
          <w:sz w:val="22"/>
          <w:szCs w:val="22"/>
          <w:color w:val="auto"/>
        </w:rPr>
        <w:t>. Any Stock Unit Award that becomes payable after the Participant’s death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distributed to the Participant’s beneficiary or beneficiaries. Each recipient of a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Stock Units Award that becomes payable after the Participant’s death shall be distributed to the Participant’s estate.</w:t>
      </w:r>
    </w:p>
    <w:p>
      <w:pPr>
        <w:spacing w:after="0" w:line="175" w:lineRule="exact"/>
        <w:rPr>
          <w:rFonts w:ascii="Times New Roman" w:cs="Times New Roman" w:eastAsia="Times New Roman" w:hAnsi="Times New Roman"/>
          <w:sz w:val="22"/>
          <w:szCs w:val="22"/>
          <w:color w:val="auto"/>
        </w:rPr>
      </w:pPr>
    </w:p>
    <w:p>
      <w:pPr>
        <w:ind w:right="240" w:firstLine="757"/>
        <w:spacing w:after="0" w:line="246" w:lineRule="auto"/>
        <w:tabs>
          <w:tab w:leader="none" w:pos="130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Creditors’ Rights</w:t>
      </w:r>
      <w:r>
        <w:rPr>
          <w:rFonts w:ascii="Times New Roman" w:cs="Times New Roman" w:eastAsia="Times New Roman" w:hAnsi="Times New Roman"/>
          <w:sz w:val="22"/>
          <w:szCs w:val="22"/>
          <w:color w:val="auto"/>
        </w:rPr>
        <w:t>. A holder of Stock Units shall have no rights other than those of a general creditor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Stock Units represent an unfunded and unsecured obligation of the Company, subject to the terms and conditions of the applicable Stock Unit Award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11. </w:t>
      </w:r>
      <w:r>
        <w:rPr>
          <w:rFonts w:ascii="Times New Roman" w:cs="Times New Roman" w:eastAsia="Times New Roman" w:hAnsi="Times New Roman"/>
          <w:sz w:val="22"/>
          <w:szCs w:val="22"/>
          <w:b w:val="1"/>
          <w:bCs w:val="1"/>
          <w:color w:val="000000"/>
        </w:rPr>
        <w:t>CASH-BASED AWARDS</w:t>
      </w:r>
    </w:p>
    <w:p>
      <w:pPr>
        <w:spacing w:after="0" w:line="210"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14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112" w:name="page113"/>
    <w:bookmarkEnd w:id="112"/>
    <w:p>
      <w:pPr>
        <w:ind w:right="120"/>
        <w:spacing w:after="0" w:line="244" w:lineRule="auto"/>
        <w:rPr>
          <w:sz w:val="20"/>
          <w:szCs w:val="20"/>
          <w:color w:val="auto"/>
        </w:rPr>
      </w:pPr>
      <w:r>
        <w:rPr>
          <w:rFonts w:ascii="Times New Roman" w:cs="Times New Roman" w:eastAsia="Times New Roman" w:hAnsi="Times New Roman"/>
          <w:sz w:val="22"/>
          <w:szCs w:val="22"/>
          <w:color w:val="auto"/>
        </w:rPr>
        <w:t>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12. </w:t>
      </w:r>
      <w:r>
        <w:rPr>
          <w:rFonts w:ascii="Times New Roman" w:cs="Times New Roman" w:eastAsia="Times New Roman" w:hAnsi="Times New Roman"/>
          <w:sz w:val="22"/>
          <w:szCs w:val="22"/>
          <w:b w:val="1"/>
          <w:bCs w:val="1"/>
          <w:color w:val="000000"/>
        </w:rPr>
        <w:t>ADJUSTMENT OF SHARES.</w:t>
      </w:r>
    </w:p>
    <w:p>
      <w:pPr>
        <w:spacing w:after="0" w:line="206" w:lineRule="exact"/>
        <w:rPr>
          <w:sz w:val="20"/>
          <w:szCs w:val="20"/>
          <w:color w:val="auto"/>
        </w:rPr>
      </w:pPr>
    </w:p>
    <w:p>
      <w:pPr>
        <w:ind w:right="20" w:firstLine="757"/>
        <w:spacing w:after="0" w:line="256" w:lineRule="auto"/>
        <w:tabs>
          <w:tab w:leader="none" w:pos="130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Adjustments</w:t>
      </w:r>
      <w:r>
        <w:rPr>
          <w:rFonts w:ascii="Times New Roman" w:cs="Times New Roman" w:eastAsia="Times New Roman" w:hAnsi="Times New Roman"/>
          <w:sz w:val="21"/>
          <w:szCs w:val="21"/>
          <w:color w:val="auto"/>
        </w:rPr>
        <w:t>. In the event of a subdivision of the outstanding Stock, a declaration of a dividend payable in Shares,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161" w:lineRule="exact"/>
        <w:rPr>
          <w:rFonts w:ascii="Times New Roman" w:cs="Times New Roman" w:eastAsia="Times New Roman" w:hAnsi="Times New Roman"/>
          <w:sz w:val="21"/>
          <w:szCs w:val="21"/>
          <w:color w:val="auto"/>
        </w:rPr>
      </w:pPr>
    </w:p>
    <w:p>
      <w:pPr>
        <w:ind w:left="2260" w:hanging="755"/>
        <w:spacing w:after="0"/>
        <w:tabs>
          <w:tab w:leader="none" w:pos="22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available for future Awards and the limitations set forth under Section 5;</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covered by each outstanding Award; and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under each outstanding Option and SAR.</w:t>
      </w:r>
    </w:p>
    <w:p>
      <w:pPr>
        <w:spacing w:after="0" w:line="202" w:lineRule="exact"/>
        <w:rPr>
          <w:rFonts w:ascii="Times New Roman" w:cs="Times New Roman" w:eastAsia="Times New Roman" w:hAnsi="Times New Roman"/>
          <w:sz w:val="22"/>
          <w:szCs w:val="22"/>
          <w:color w:val="auto"/>
        </w:rPr>
      </w:pPr>
    </w:p>
    <w:p>
      <w:pPr>
        <w:ind w:firstLine="757"/>
        <w:spacing w:after="0" w:line="262" w:lineRule="auto"/>
        <w:tabs>
          <w:tab w:leader="none" w:pos="130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Dissolution or Liquidation</w:t>
      </w:r>
      <w:r>
        <w:rPr>
          <w:rFonts w:ascii="Times New Roman" w:cs="Times New Roman" w:eastAsia="Times New Roman" w:hAnsi="Times New Roman"/>
          <w:sz w:val="22"/>
          <w:szCs w:val="22"/>
          <w:color w:val="auto"/>
        </w:rPr>
        <w:t>. To the extent not previously exercised or settled, Options, SARs and Stock Units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terminate immediately prior to the dissolution or liquidation of the Company.</w:t>
      </w:r>
    </w:p>
    <w:p>
      <w:pPr>
        <w:spacing w:after="0" w:line="149" w:lineRule="exact"/>
        <w:rPr>
          <w:rFonts w:ascii="Times New Roman" w:cs="Times New Roman" w:eastAsia="Times New Roman" w:hAnsi="Times New Roman"/>
          <w:sz w:val="22"/>
          <w:szCs w:val="22"/>
          <w:color w:val="auto"/>
        </w:rPr>
      </w:pPr>
    </w:p>
    <w:p>
      <w:pPr>
        <w:ind w:firstLine="757"/>
        <w:spacing w:after="0" w:line="246" w:lineRule="auto"/>
        <w:tabs>
          <w:tab w:leader="none" w:pos="130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Reorganizations</w:t>
      </w:r>
      <w:r>
        <w:rPr>
          <w:rFonts w:ascii="Times New Roman" w:cs="Times New Roman" w:eastAsia="Times New Roman" w:hAnsi="Times New Roman"/>
          <w:sz w:val="22"/>
          <w:szCs w:val="22"/>
          <w:color w:val="auto"/>
        </w:rPr>
        <w:t>. In the event that the Company is a party to a merger or other reorganization, outstanding Awards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subject to the agreement of merger or reorganization. Subject to compliance with Section 409A, such agreement shall provide for:</w:t>
      </w:r>
    </w:p>
    <w:p>
      <w:pPr>
        <w:spacing w:after="0" w:line="171" w:lineRule="exact"/>
        <w:rPr>
          <w:rFonts w:ascii="Times New Roman" w:cs="Times New Roman" w:eastAsia="Times New Roman" w:hAnsi="Times New Roman"/>
          <w:sz w:val="22"/>
          <w:szCs w:val="22"/>
          <w:color w:val="auto"/>
        </w:rPr>
      </w:pPr>
    </w:p>
    <w:p>
      <w:pPr>
        <w:ind w:left="2260" w:right="1040" w:hanging="755"/>
        <w:spacing w:after="0" w:line="258" w:lineRule="auto"/>
        <w:tabs>
          <w:tab w:leader="none" w:pos="22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continuation of the outstanding Awards by the Company, if the Company is a surviving corporation;</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assumption of the outstanding Awards by the surviving corporation or its parent or subsidiary;</w:t>
      </w:r>
    </w:p>
    <w:p>
      <w:pPr>
        <w:spacing w:after="0" w:line="206" w:lineRule="exact"/>
        <w:rPr>
          <w:rFonts w:ascii="Times New Roman" w:cs="Times New Roman" w:eastAsia="Times New Roman" w:hAnsi="Times New Roman"/>
          <w:sz w:val="22"/>
          <w:szCs w:val="22"/>
          <w:color w:val="auto"/>
        </w:rPr>
      </w:pPr>
    </w:p>
    <w:p>
      <w:pPr>
        <w:ind w:left="2260" w:right="600" w:hanging="755"/>
        <w:spacing w:after="0" w:line="258" w:lineRule="auto"/>
        <w:tabs>
          <w:tab w:leader="none" w:pos="22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substitution by the surviving corporation or its parent or subsidiary of its own awards for the outstanding Awards;</w:t>
      </w:r>
    </w:p>
    <w:p>
      <w:pPr>
        <w:spacing w:after="0" w:line="158" w:lineRule="exact"/>
        <w:rPr>
          <w:rFonts w:ascii="Times New Roman" w:cs="Times New Roman" w:eastAsia="Times New Roman" w:hAnsi="Times New Roman"/>
          <w:sz w:val="22"/>
          <w:szCs w:val="22"/>
          <w:color w:val="auto"/>
        </w:rPr>
      </w:pPr>
    </w:p>
    <w:p>
      <w:pPr>
        <w:ind w:left="2260" w:right="180" w:hanging="755"/>
        <w:spacing w:after="0" w:line="258" w:lineRule="auto"/>
        <w:tabs>
          <w:tab w:leader="none" w:pos="22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 vesting, exercisability or settlement of outstanding Awards followed by the cancellation of such Awards upon or immediately prior to the effectiveness of such transaction; or</w:t>
      </w:r>
    </w:p>
    <w:p>
      <w:pPr>
        <w:spacing w:after="0" w:line="158" w:lineRule="exact"/>
        <w:rPr>
          <w:rFonts w:ascii="Times New Roman" w:cs="Times New Roman" w:eastAsia="Times New Roman" w:hAnsi="Times New Roman"/>
          <w:sz w:val="22"/>
          <w:szCs w:val="22"/>
          <w:color w:val="auto"/>
        </w:rPr>
      </w:pPr>
    </w:p>
    <w:p>
      <w:pPr>
        <w:jc w:val="both"/>
        <w:ind w:left="2260" w:right="140" w:hanging="755"/>
        <w:spacing w:after="0" w:line="244" w:lineRule="auto"/>
        <w:tabs>
          <w:tab w:leader="none" w:pos="22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3" w:name="page114"/>
    <w:bookmarkEnd w:id="113"/>
    <w:p>
      <w:pPr>
        <w:ind w:left="2260"/>
        <w:spacing w:after="0" w:line="235" w:lineRule="auto"/>
        <w:rPr>
          <w:sz w:val="20"/>
          <w:szCs w:val="20"/>
          <w:color w:val="auto"/>
        </w:rPr>
      </w:pPr>
      <w:r>
        <w:rPr>
          <w:rFonts w:ascii="Times New Roman" w:cs="Times New Roman" w:eastAsia="Times New Roman" w:hAnsi="Times New Roman"/>
          <w:sz w:val="22"/>
          <w:szCs w:val="22"/>
          <w:color w:val="auto"/>
        </w:rPr>
        <w:t>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w:t>
      </w:r>
    </w:p>
    <w:p>
      <w:pPr>
        <w:spacing w:after="0" w:line="184"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Company will have no obligation to treat all Awards, all Awards held by a Participant, or all Awards of the same type, similarly.</w:t>
      </w:r>
    </w:p>
    <w:p>
      <w:pPr>
        <w:spacing w:after="0" w:line="154" w:lineRule="exact"/>
        <w:rPr>
          <w:sz w:val="20"/>
          <w:szCs w:val="20"/>
          <w:color w:val="auto"/>
        </w:rPr>
      </w:pPr>
    </w:p>
    <w:p>
      <w:pPr>
        <w:ind w:right="60" w:firstLine="757"/>
        <w:spacing w:after="0" w:line="234" w:lineRule="auto"/>
        <w:tabs>
          <w:tab w:leader="none" w:pos="130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Reservation of Rights</w:t>
      </w:r>
      <w:r>
        <w:rPr>
          <w:rFonts w:ascii="Times New Roman" w:cs="Times New Roman" w:eastAsia="Times New Roman" w:hAnsi="Times New Roman"/>
          <w:sz w:val="22"/>
          <w:szCs w:val="22"/>
          <w:color w:val="auto"/>
        </w:rPr>
        <w:t>. Except as provided in this Section 12, a Participant shall have no rights by reason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of Shares subject to an Award, including a merger or other reorganization, for reasons of administrative convenience, the Company in its sole discretion may refuse to permit the exercise of any Award during a period of up to 30 days prior to the occurrence of such event.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13. </w:t>
      </w:r>
      <w:r>
        <w:rPr>
          <w:rFonts w:ascii="Times New Roman" w:cs="Times New Roman" w:eastAsia="Times New Roman" w:hAnsi="Times New Roman"/>
          <w:sz w:val="22"/>
          <w:szCs w:val="22"/>
          <w:b w:val="1"/>
          <w:bCs w:val="1"/>
          <w:color w:val="000000"/>
        </w:rPr>
        <w:t>DEFERRAL OF AWARDS.</w:t>
      </w:r>
    </w:p>
    <w:p>
      <w:pPr>
        <w:spacing w:after="0" w:line="206" w:lineRule="exact"/>
        <w:rPr>
          <w:sz w:val="20"/>
          <w:szCs w:val="20"/>
          <w:color w:val="auto"/>
        </w:rPr>
      </w:pPr>
    </w:p>
    <w:p>
      <w:pPr>
        <w:ind w:right="160" w:firstLine="757"/>
        <w:spacing w:after="0" w:line="262" w:lineRule="auto"/>
        <w:tabs>
          <w:tab w:leader="none" w:pos="130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Committee Powers</w:t>
      </w:r>
      <w:r>
        <w:rPr>
          <w:rFonts w:ascii="Times New Roman" w:cs="Times New Roman" w:eastAsia="Times New Roman" w:hAnsi="Times New Roman"/>
          <w:sz w:val="22"/>
          <w:szCs w:val="22"/>
          <w:color w:val="auto"/>
        </w:rPr>
        <w:t>. Subject to compliance with Section 409A, the Committee (in its sole discretion) may permit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require a Participant to:</w:t>
      </w:r>
    </w:p>
    <w:p>
      <w:pPr>
        <w:spacing w:after="0" w:line="153" w:lineRule="exact"/>
        <w:rPr>
          <w:rFonts w:ascii="Times New Roman" w:cs="Times New Roman" w:eastAsia="Times New Roman" w:hAnsi="Times New Roman"/>
          <w:sz w:val="22"/>
          <w:szCs w:val="22"/>
          <w:color w:val="auto"/>
        </w:rPr>
      </w:pPr>
    </w:p>
    <w:p>
      <w:pPr>
        <w:ind w:left="2260" w:right="160" w:hanging="755"/>
        <w:spacing w:after="0" w:line="244" w:lineRule="auto"/>
        <w:tabs>
          <w:tab w:leader="none" w:pos="22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173" w:lineRule="exact"/>
        <w:rPr>
          <w:rFonts w:ascii="Times New Roman" w:cs="Times New Roman" w:eastAsia="Times New Roman" w:hAnsi="Times New Roman"/>
          <w:sz w:val="22"/>
          <w:szCs w:val="22"/>
          <w:color w:val="auto"/>
        </w:rPr>
      </w:pPr>
    </w:p>
    <w:p>
      <w:pPr>
        <w:ind w:left="2260" w:right="540" w:hanging="755"/>
        <w:spacing w:after="0" w:line="258" w:lineRule="auto"/>
        <w:tabs>
          <w:tab w:leader="none" w:pos="22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Shares that otherwise would be delivered to such Participant as a result of the exercise of an Option or SAR converted into an equal number of Stock Units; or</w:t>
      </w:r>
    </w:p>
    <w:p>
      <w:pPr>
        <w:spacing w:after="0" w:line="158" w:lineRule="exact"/>
        <w:rPr>
          <w:rFonts w:ascii="Times New Roman" w:cs="Times New Roman" w:eastAsia="Times New Roman" w:hAnsi="Times New Roman"/>
          <w:sz w:val="22"/>
          <w:szCs w:val="22"/>
          <w:color w:val="auto"/>
        </w:rPr>
      </w:pPr>
    </w:p>
    <w:p>
      <w:pPr>
        <w:ind w:left="2260" w:right="540" w:hanging="755"/>
        <w:spacing w:after="0" w:line="261" w:lineRule="auto"/>
        <w:tabs>
          <w:tab w:leader="none" w:pos="226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16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4" w:name="page115"/>
    <w:bookmarkEnd w:id="114"/>
    <w:p>
      <w:pPr>
        <w:ind w:left="2260" w:right="220"/>
        <w:spacing w:after="0" w:line="258" w:lineRule="auto"/>
        <w:rPr>
          <w:sz w:val="20"/>
          <w:szCs w:val="20"/>
          <w:color w:val="auto"/>
        </w:rPr>
      </w:pPr>
      <w:r>
        <w:rPr>
          <w:rFonts w:ascii="Times New Roman" w:cs="Times New Roman" w:eastAsia="Times New Roman" w:hAnsi="Times New Roman"/>
          <w:sz w:val="22"/>
          <w:szCs w:val="22"/>
          <w:color w:val="auto"/>
        </w:rPr>
        <w:t>Company’s books. Such amounts shall be determined by reference to the Fair Market Value of such Shares as of the date when they otherwise would have been delivered to such Participant.</w:t>
      </w:r>
    </w:p>
    <w:p>
      <w:pPr>
        <w:spacing w:after="0" w:line="155" w:lineRule="exact"/>
        <w:rPr>
          <w:sz w:val="20"/>
          <w:szCs w:val="20"/>
          <w:color w:val="auto"/>
        </w:rPr>
      </w:pPr>
    </w:p>
    <w:p>
      <w:pPr>
        <w:ind w:right="40" w:firstLine="757"/>
        <w:spacing w:after="0" w:line="236" w:lineRule="auto"/>
        <w:tabs>
          <w:tab w:leader="none" w:pos="130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Rules</w:t>
      </w:r>
      <w:r>
        <w:rPr>
          <w:rFonts w:ascii="Times New Roman" w:cs="Times New Roman" w:eastAsia="Times New Roman" w:hAnsi="Times New Roman"/>
          <w:sz w:val="22"/>
          <w:szCs w:val="22"/>
          <w:color w:val="auto"/>
        </w:rPr>
        <w:t>. A deferred compensation account established under this Section 13 may be credited with interest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14. </w:t>
      </w:r>
      <w:r>
        <w:rPr>
          <w:rFonts w:ascii="Times New Roman" w:cs="Times New Roman" w:eastAsia="Times New Roman" w:hAnsi="Times New Roman"/>
          <w:sz w:val="22"/>
          <w:szCs w:val="22"/>
          <w:b w:val="1"/>
          <w:bCs w:val="1"/>
          <w:color w:val="000000"/>
        </w:rPr>
        <w:t>LEGAL AND REGULATORY REQUIREMENTS.</w:t>
      </w:r>
    </w:p>
    <w:p>
      <w:pPr>
        <w:spacing w:after="0" w:line="210"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21"/>
          <w:szCs w:val="21"/>
          <w:color w:val="auto"/>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15. </w:t>
      </w:r>
      <w:r>
        <w:rPr>
          <w:rFonts w:ascii="Times New Roman" w:cs="Times New Roman" w:eastAsia="Times New Roman" w:hAnsi="Times New Roman"/>
          <w:sz w:val="22"/>
          <w:szCs w:val="22"/>
          <w:b w:val="1"/>
          <w:bCs w:val="1"/>
          <w:color w:val="000000"/>
        </w:rPr>
        <w:t>TAXES.</w:t>
      </w:r>
    </w:p>
    <w:p>
      <w:pPr>
        <w:spacing w:after="0" w:line="206" w:lineRule="exact"/>
        <w:rPr>
          <w:sz w:val="20"/>
          <w:szCs w:val="20"/>
          <w:color w:val="auto"/>
        </w:rPr>
      </w:pPr>
    </w:p>
    <w:p>
      <w:pPr>
        <w:ind w:right="40" w:firstLine="757"/>
        <w:spacing w:after="0" w:line="241" w:lineRule="auto"/>
        <w:tabs>
          <w:tab w:leader="none" w:pos="130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Withholding Taxes</w:t>
      </w:r>
      <w:r>
        <w:rPr>
          <w:rFonts w:ascii="Times New Roman" w:cs="Times New Roman" w:eastAsia="Times New Roman" w:hAnsi="Times New Roman"/>
          <w:sz w:val="22"/>
          <w:szCs w:val="22"/>
          <w:color w:val="auto"/>
        </w:rPr>
        <w:t>. To the extent required by applicable federal, state, local or foreign law, a Participant or his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171" w:lineRule="exact"/>
        <w:rPr>
          <w:rFonts w:ascii="Times New Roman" w:cs="Times New Roman" w:eastAsia="Times New Roman" w:hAnsi="Times New Roman"/>
          <w:sz w:val="22"/>
          <w:szCs w:val="22"/>
          <w:color w:val="auto"/>
        </w:rPr>
      </w:pPr>
    </w:p>
    <w:p>
      <w:pPr>
        <w:ind w:right="40" w:firstLine="757"/>
        <w:spacing w:after="0" w:line="237" w:lineRule="auto"/>
        <w:tabs>
          <w:tab w:leader="none" w:pos="130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Share Withholding</w:t>
      </w:r>
      <w:r>
        <w:rPr>
          <w:rFonts w:ascii="Times New Roman" w:cs="Times New Roman" w:eastAsia="Times New Roman" w:hAnsi="Times New Roman"/>
          <w:sz w:val="22"/>
          <w:szCs w:val="22"/>
          <w:color w:val="auto"/>
        </w:rPr>
        <w:t>. The Committee may permit a Participant to satisfy all or part of his or her withholding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tax 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99"/>
        <w:spacing w:after="0" w:line="232" w:lineRule="auto"/>
        <w:rPr>
          <w:sz w:val="20"/>
          <w:szCs w:val="20"/>
          <w:color w:val="auto"/>
        </w:rPr>
      </w:pPr>
      <w:r>
        <w:rPr>
          <w:rFonts w:ascii="Times New Roman" w:cs="Times New Roman" w:eastAsia="Times New Roman" w:hAnsi="Times New Roman"/>
          <w:sz w:val="22"/>
          <w:szCs w:val="22"/>
          <w:color w:val="auto"/>
        </w:rPr>
        <w:t>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sectPr>
      </w:pPr>
    </w:p>
    <w:bookmarkStart w:id="115" w:name="page116"/>
    <w:bookmarkEnd w:id="115"/>
    <w:p>
      <w:pPr>
        <w:ind w:right="40" w:firstLine="757"/>
        <w:spacing w:after="0" w:line="235" w:lineRule="auto"/>
        <w:tabs>
          <w:tab w:leader="none" w:pos="130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409A</w:t>
      </w:r>
      <w:r>
        <w:rPr>
          <w:rFonts w:ascii="Times New Roman" w:cs="Times New Roman" w:eastAsia="Times New Roman" w:hAnsi="Times New Roman"/>
          <w:sz w:val="22"/>
          <w:szCs w:val="22"/>
          <w:color w:val="auto"/>
        </w:rPr>
        <w:t>. Each Award that provides for “nonqualified deferred compensation” within the meaning of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16. </w:t>
      </w:r>
      <w:r>
        <w:rPr>
          <w:rFonts w:ascii="Times New Roman" w:cs="Times New Roman" w:eastAsia="Times New Roman" w:hAnsi="Times New Roman"/>
          <w:sz w:val="22"/>
          <w:szCs w:val="22"/>
          <w:b w:val="1"/>
          <w:bCs w:val="1"/>
          <w:color w:val="000000"/>
        </w:rPr>
        <w:t>TRANSFERABILITY.</w:t>
      </w:r>
    </w:p>
    <w:p>
      <w:pPr>
        <w:spacing w:after="0" w:line="21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Any purported assignment, transfer or encumbrance in violation of this Section 16 shall be void and unenforceable against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17. </w:t>
      </w:r>
      <w:r>
        <w:rPr>
          <w:rFonts w:ascii="Times New Roman" w:cs="Times New Roman" w:eastAsia="Times New Roman" w:hAnsi="Times New Roman"/>
          <w:sz w:val="22"/>
          <w:szCs w:val="22"/>
          <w:b w:val="1"/>
          <w:bCs w:val="1"/>
          <w:color w:val="000000"/>
        </w:rPr>
        <w:t>PERFORMANCE BASED AWARDS.</w:t>
      </w:r>
    </w:p>
    <w:p>
      <w:pPr>
        <w:spacing w:after="0" w:line="210"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The number of Shares or other benefits granted, issued, retainable and/or vested under an Award may be made subject to the attainment of performance goals. The Committee may utilize any performance criteria selected by it in its sole discretion to establish performance goals.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18. </w:t>
      </w:r>
      <w:r>
        <w:rPr>
          <w:rFonts w:ascii="Times New Roman" w:cs="Times New Roman" w:eastAsia="Times New Roman" w:hAnsi="Times New Roman"/>
          <w:sz w:val="22"/>
          <w:szCs w:val="22"/>
          <w:b w:val="1"/>
          <w:bCs w:val="1"/>
          <w:color w:val="000000"/>
        </w:rPr>
        <w:t>NO EMPLOYMENT RIGHTS.</w:t>
      </w:r>
    </w:p>
    <w:p>
      <w:pPr>
        <w:spacing w:after="0" w:line="210" w:lineRule="exact"/>
        <w:rPr>
          <w:sz w:val="20"/>
          <w:szCs w:val="20"/>
          <w:color w:val="auto"/>
        </w:rPr>
      </w:pPr>
    </w:p>
    <w:p>
      <w:pPr>
        <w:ind w:right="620" w:firstLine="749"/>
        <w:spacing w:after="0" w:line="244" w:lineRule="auto"/>
        <w:rPr>
          <w:sz w:val="20"/>
          <w:szCs w:val="20"/>
          <w:color w:val="auto"/>
        </w:rPr>
      </w:pPr>
      <w:r>
        <w:rPr>
          <w:rFonts w:ascii="Times New Roman" w:cs="Times New Roman" w:eastAsia="Times New Roman" w:hAnsi="Times New Roman"/>
          <w:sz w:val="22"/>
          <w:szCs w:val="22"/>
          <w:color w:val="auto"/>
        </w:rPr>
        <w:t>No provision of the Plan, nor any Award granted under the Plan, shall be construed to give any person any right to become, to be treated as, or to remain an Employee or Consultant. The Company and its Subsidiaries reserve the right to terminate any person’s Service at any time and for any reason, with or without notice.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19. </w:t>
      </w:r>
      <w:r>
        <w:rPr>
          <w:rFonts w:ascii="Times New Roman" w:cs="Times New Roman" w:eastAsia="Times New Roman" w:hAnsi="Times New Roman"/>
          <w:sz w:val="22"/>
          <w:szCs w:val="22"/>
          <w:b w:val="1"/>
          <w:bCs w:val="1"/>
          <w:color w:val="000000"/>
        </w:rPr>
        <w:t>DURATION AND AMENDMENTS.</w:t>
      </w:r>
    </w:p>
    <w:p>
      <w:pPr>
        <w:spacing w:after="0" w:line="206" w:lineRule="exact"/>
        <w:rPr>
          <w:sz w:val="20"/>
          <w:szCs w:val="20"/>
          <w:color w:val="auto"/>
        </w:rPr>
      </w:pPr>
    </w:p>
    <w:p>
      <w:pPr>
        <w:ind w:firstLine="757"/>
        <w:spacing w:after="0" w:line="246" w:lineRule="auto"/>
        <w:tabs>
          <w:tab w:leader="none" w:pos="130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 of the Plan</w:t>
      </w:r>
      <w:r>
        <w:rPr>
          <w:rFonts w:ascii="Times New Roman" w:cs="Times New Roman" w:eastAsia="Times New Roman" w:hAnsi="Times New Roman"/>
          <w:sz w:val="22"/>
          <w:szCs w:val="22"/>
          <w:color w:val="auto"/>
        </w:rPr>
        <w:t>. The Plan, as set forth herein, shall come into existence on the date of its adoption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provided, however, that no Award may be granted hereunder prior to the Effective Date. The Board of Directors may suspend or terminate the Plan at any time.</w:t>
      </w:r>
    </w:p>
    <w:p>
      <w:pPr>
        <w:spacing w:after="0" w:line="167" w:lineRule="exact"/>
        <w:rPr>
          <w:rFonts w:ascii="Times New Roman" w:cs="Times New Roman" w:eastAsia="Times New Roman" w:hAnsi="Times New Roman"/>
          <w:sz w:val="22"/>
          <w:szCs w:val="22"/>
          <w:color w:val="auto"/>
        </w:rPr>
      </w:pPr>
    </w:p>
    <w:p>
      <w:pPr>
        <w:ind w:right="140" w:firstLine="757"/>
        <w:spacing w:after="0" w:line="263" w:lineRule="auto"/>
        <w:tabs>
          <w:tab w:leader="none" w:pos="130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Right to Amend the Plan</w:t>
      </w:r>
      <w:r>
        <w:rPr>
          <w:rFonts w:ascii="Times New Roman" w:cs="Times New Roman" w:eastAsia="Times New Roman" w:hAnsi="Times New Roman"/>
          <w:sz w:val="21"/>
          <w:szCs w:val="21"/>
          <w:color w:val="auto"/>
        </w:rPr>
        <w:t>. The Board of Directors may amend the Plan at any time and from time to time. Rights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obligations under any Award granted before amendment of the Plan shall not be materially impaired by such amendment, except with consent of the Participant. An amendment of the Plan or any Award shall be subject to the approval of the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19"/>
        <w:spacing w:after="0" w:line="232" w:lineRule="auto"/>
        <w:rPr>
          <w:sz w:val="20"/>
          <w:szCs w:val="20"/>
          <w:color w:val="auto"/>
        </w:rPr>
      </w:pPr>
      <w:r>
        <w:rPr>
          <w:rFonts w:ascii="Times New Roman" w:cs="Times New Roman" w:eastAsia="Times New Roman" w:hAnsi="Times New Roman"/>
          <w:sz w:val="22"/>
          <w:szCs w:val="22"/>
          <w:color w:val="auto"/>
        </w:rPr>
        <w:t>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Company’s stockholders only to the extent required by applicable laws, regulations, rules or listing requirements.</w:t>
      </w:r>
    </w:p>
    <w:p>
      <w:pPr>
        <w:spacing w:after="0" w:line="203" w:lineRule="exact"/>
        <w:rPr>
          <w:sz w:val="20"/>
          <w:szCs w:val="20"/>
          <w:color w:val="auto"/>
        </w:rPr>
      </w:pPr>
    </w:p>
    <w:p>
      <w:pPr>
        <w:ind w:right="180" w:firstLine="757"/>
        <w:spacing w:after="0" w:line="262" w:lineRule="auto"/>
        <w:tabs>
          <w:tab w:leader="none" w:pos="130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Termination</w:t>
      </w:r>
      <w:r>
        <w:rPr>
          <w:rFonts w:ascii="Times New Roman" w:cs="Times New Roman" w:eastAsia="Times New Roman" w:hAnsi="Times New Roman"/>
          <w:sz w:val="22"/>
          <w:szCs w:val="22"/>
          <w:color w:val="auto"/>
        </w:rPr>
        <w:t>. No Awards shall be granted under the Plan after the termination thereof. The termination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Plan shall not affect Awards previously granted under the Plan.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20. </w:t>
      </w:r>
      <w:r>
        <w:rPr>
          <w:rFonts w:ascii="Times New Roman" w:cs="Times New Roman" w:eastAsia="Times New Roman" w:hAnsi="Times New Roman"/>
          <w:sz w:val="22"/>
          <w:szCs w:val="22"/>
          <w:b w:val="1"/>
          <w:bCs w:val="1"/>
          <w:color w:val="000000"/>
        </w:rPr>
        <w:t>AWARDS TO NON-U.S. PARTICIPANTS.</w:t>
      </w:r>
    </w:p>
    <w:p>
      <w:pPr>
        <w:spacing w:after="0" w:line="210" w:lineRule="exact"/>
        <w:rPr>
          <w:sz w:val="20"/>
          <w:szCs w:val="20"/>
          <w:color w:val="auto"/>
        </w:rPr>
      </w:pPr>
    </w:p>
    <w:p>
      <w:pPr>
        <w:ind w:right="140" w:firstLine="749"/>
        <w:spacing w:after="0" w:line="236" w:lineRule="auto"/>
        <w:rPr>
          <w:sz w:val="20"/>
          <w:szCs w:val="20"/>
          <w:color w:val="auto"/>
        </w:rPr>
      </w:pPr>
      <w:r>
        <w:rPr>
          <w:rFonts w:ascii="Times New Roman" w:cs="Times New Roman" w:eastAsia="Times New Roman" w:hAnsi="Times New Roman"/>
          <w:sz w:val="22"/>
          <w:szCs w:val="22"/>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21. </w:t>
      </w:r>
      <w:r>
        <w:rPr>
          <w:rFonts w:ascii="Times New Roman" w:cs="Times New Roman" w:eastAsia="Times New Roman" w:hAnsi="Times New Roman"/>
          <w:sz w:val="22"/>
          <w:szCs w:val="22"/>
          <w:b w:val="1"/>
          <w:bCs w:val="1"/>
          <w:color w:val="000000"/>
        </w:rPr>
        <w:t>GOVERNING LAW.</w:t>
      </w:r>
    </w:p>
    <w:p>
      <w:pPr>
        <w:spacing w:after="0" w:line="21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The Plan and each Award Agreement shall be governed by the laws of the State of Delaware, without application of the conflicts of law principles thereof.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22. </w:t>
      </w:r>
      <w:r>
        <w:rPr>
          <w:rFonts w:ascii="Times New Roman" w:cs="Times New Roman" w:eastAsia="Times New Roman" w:hAnsi="Times New Roman"/>
          <w:sz w:val="22"/>
          <w:szCs w:val="22"/>
          <w:b w:val="1"/>
          <w:bCs w:val="1"/>
          <w:color w:val="000000"/>
        </w:rPr>
        <w:t>SUCCESSORS AND ASSIGNS.</w:t>
      </w:r>
    </w:p>
    <w:p>
      <w:pPr>
        <w:spacing w:after="0" w:line="21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The terms of the Plan shall be binding upon and inure to the benefit of the Company and any successor entity, including any successor entity contemplated by Section 12(c).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23. </w:t>
      </w:r>
      <w:r>
        <w:rPr>
          <w:rFonts w:ascii="Times New Roman" w:cs="Times New Roman" w:eastAsia="Times New Roman" w:hAnsi="Times New Roman"/>
          <w:sz w:val="22"/>
          <w:szCs w:val="22"/>
          <w:b w:val="1"/>
          <w:bCs w:val="1"/>
          <w:color w:val="000000"/>
        </w:rPr>
        <w:t>EXECUTION.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To record the adoption of the Plan by the Committee, the Company has caused its authorized officer to execute the same.</w:t>
      </w:r>
    </w:p>
    <w:p>
      <w:pPr>
        <w:spacing w:after="0" w:line="2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SITIME CORPORATION</w:t>
      </w:r>
    </w:p>
    <w:p>
      <w:pPr>
        <w:spacing w:after="0" w:line="21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By: /s/ Vincent Pangrazio</w:t>
      </w:r>
    </w:p>
    <w:p>
      <w:pPr>
        <w:spacing w:after="0" w:line="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 Vincent Pangrazio</w:t>
      </w:r>
    </w:p>
    <w:p>
      <w:pPr>
        <w:spacing w:after="0" w:line="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Title: EVP, Chief Legal Officer and Corporate Secretary</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AMENDED AND RESTATED 2022 INDUCEMENT AWARD PLAN</w:t>
      </w:r>
    </w:p>
    <w:p>
      <w:pPr>
        <w:jc w:val="center"/>
        <w:ind w:right="-39"/>
        <w:spacing w:after="0" w:line="232" w:lineRule="auto"/>
        <w:rPr>
          <w:sz w:val="20"/>
          <w:szCs w:val="20"/>
          <w:color w:val="auto"/>
        </w:rPr>
      </w:pPr>
      <w:r>
        <w:rPr>
          <w:rFonts w:ascii="Times New Roman" w:cs="Times New Roman" w:eastAsia="Times New Roman" w:hAnsi="Times New Roman"/>
          <w:sz w:val="22"/>
          <w:szCs w:val="22"/>
          <w:color w:val="auto"/>
        </w:rPr>
        <w:t>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281753960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2"/>
          <w:szCs w:val="22"/>
          <w:b w:val="1"/>
          <w:bCs w:val="1"/>
          <w:color w:val="auto"/>
        </w:rPr>
        <w:t>SITIME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2022 INDUCEMENT AWARD PLAN</w:t>
      </w: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UNIT AWARD</w:t>
      </w:r>
    </w:p>
    <w:p>
      <w:pPr>
        <w:spacing w:after="0" w:line="178" w:lineRule="exact"/>
        <w:rPr>
          <w:sz w:val="20"/>
          <w:szCs w:val="20"/>
          <w:color w:val="auto"/>
        </w:rPr>
      </w:pPr>
    </w:p>
    <w:p>
      <w:pPr>
        <w:ind w:right="360" w:firstLine="749"/>
        <w:spacing w:after="0" w:line="246" w:lineRule="auto"/>
        <w:rPr>
          <w:sz w:val="20"/>
          <w:szCs w:val="20"/>
          <w:color w:val="auto"/>
        </w:rPr>
      </w:pPr>
      <w:r>
        <w:rPr>
          <w:rFonts w:ascii="Times New Roman" w:cs="Times New Roman" w:eastAsia="Times New Roman" w:hAnsi="Times New Roman"/>
          <w:sz w:val="22"/>
          <w:szCs w:val="22"/>
          <w:color w:val="auto"/>
        </w:rPr>
        <w:t>You have been granted an Award of Stock Units (the “</w:t>
      </w:r>
      <w:r>
        <w:rPr>
          <w:rFonts w:ascii="Times New Roman" w:cs="Times New Roman" w:eastAsia="Times New Roman" w:hAnsi="Times New Roman"/>
          <w:sz w:val="22"/>
          <w:szCs w:val="22"/>
          <w:i w:val="1"/>
          <w:iCs w:val="1"/>
          <w:color w:val="auto"/>
        </w:rPr>
        <w:t>RSUs</w:t>
      </w:r>
      <w:r>
        <w:rPr>
          <w:rFonts w:ascii="Times New Roman" w:cs="Times New Roman" w:eastAsia="Times New Roman" w:hAnsi="Times New Roman"/>
          <w:sz w:val="22"/>
          <w:szCs w:val="22"/>
          <w:color w:val="auto"/>
        </w:rPr>
        <w:t>”) representing shares of common stock (“</w:t>
      </w:r>
      <w:r>
        <w:rPr>
          <w:rFonts w:ascii="Times New Roman" w:cs="Times New Roman" w:eastAsia="Times New Roman" w:hAnsi="Times New Roman"/>
          <w:sz w:val="22"/>
          <w:szCs w:val="22"/>
          <w:i w:val="1"/>
          <w:iCs w:val="1"/>
          <w:color w:val="auto"/>
        </w:rPr>
        <w:t>Shares</w:t>
      </w:r>
      <w:r>
        <w:rPr>
          <w:rFonts w:ascii="Times New Roman" w:cs="Times New Roman" w:eastAsia="Times New Roman" w:hAnsi="Times New Roman"/>
          <w:sz w:val="22"/>
          <w:szCs w:val="22"/>
          <w:color w:val="auto"/>
        </w:rPr>
        <w:t>”) of SiTime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under the SiTime Corporation Amended and Restated 2022 Inducement Award Plan, as may be amended from time to time (the “</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as detailed in this Notice of Restricted Stock Unit Award (“</w:t>
      </w: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Name of Recipient:</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Grant Date:</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Total Number of Shares</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Subject to RSUs:</w:t>
      </w:r>
    </w:p>
    <w:p>
      <w:pPr>
        <w:spacing w:after="0" w:line="1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Vesting Commencement Date:</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i w:val="1"/>
          <w:iCs w:val="1"/>
          <w:color w:val="auto"/>
        </w:rPr>
        <w:t>Vesting Schedule:</w:t>
      </w:r>
    </w:p>
    <w:p>
      <w:pPr>
        <w:spacing w:after="0" w:line="220" w:lineRule="exact"/>
        <w:rPr>
          <w:sz w:val="20"/>
          <w:szCs w:val="20"/>
          <w:color w:val="auto"/>
        </w:rPr>
      </w:pPr>
    </w:p>
    <w:p>
      <w:pPr>
        <w:ind w:right="20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By your written signature below (or your electronic acceptance) and the signature of the Company’s representative below, you and the Company agree that the RSUs are granted under and governed by the term and conditions of the Plan, this Notice, and the attached Restricted Stock Unit Agreement, including any Appendices thereto (collectively,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b w:val="1"/>
          <w:bCs w:val="1"/>
          <w:color w:val="auto"/>
        </w:rPr>
        <w:t>”).</w:t>
      </w:r>
    </w:p>
    <w:p>
      <w:pPr>
        <w:spacing w:after="0" w:line="64"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By your written signature below (or your electronic acceptance), you further agree that the Company may deliver by e-mail all documents relating to the Plan or this Award (including without limitation, prospectuses required by the U.S.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 Should you electronically accept this Agreement, you agree to the following: “This electronic contract contains my electronic signature, which I have executed with the intent to sign this Agreement.”</w:t>
      </w:r>
    </w:p>
    <w:p>
      <w:pPr>
        <w:spacing w:after="0" w:line="178" w:lineRule="exact"/>
        <w:rPr>
          <w:sz w:val="20"/>
          <w:szCs w:val="20"/>
          <w:color w:val="auto"/>
        </w:rPr>
      </w:pPr>
    </w:p>
    <w:p>
      <w:pPr>
        <w:ind w:left="20"/>
        <w:spacing w:after="0"/>
        <w:tabs>
          <w:tab w:leader="none" w:pos="5300" w:val="left"/>
        </w:tabs>
        <w:rPr>
          <w:sz w:val="20"/>
          <w:szCs w:val="20"/>
          <w:color w:val="auto"/>
        </w:rPr>
      </w:pPr>
      <w:r>
        <w:rPr>
          <w:rFonts w:ascii="Times New Roman" w:cs="Times New Roman" w:eastAsia="Times New Roman" w:hAnsi="Times New Roman"/>
          <w:sz w:val="22"/>
          <w:szCs w:val="22"/>
          <w:b w:val="1"/>
          <w:bCs w:val="1"/>
          <w:color w:val="auto"/>
        </w:rPr>
        <w:t>RECIPIENT</w:t>
      </w:r>
      <w:r>
        <w:rPr>
          <w:sz w:val="20"/>
          <w:szCs w:val="20"/>
          <w:color w:val="auto"/>
        </w:rPr>
        <w:tab/>
      </w:r>
      <w:r>
        <w:rPr>
          <w:rFonts w:ascii="Times New Roman" w:cs="Times New Roman" w:eastAsia="Times New Roman" w:hAnsi="Times New Roman"/>
          <w:sz w:val="22"/>
          <w:szCs w:val="22"/>
          <w:b w:val="1"/>
          <w:bCs w:val="1"/>
          <w:color w:val="auto"/>
        </w:rPr>
        <w:t>SITIME CORPORATION</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By:</w:t>
      </w:r>
    </w:p>
    <w:p>
      <w:pPr>
        <w:spacing w:after="0" w:line="220" w:lineRule="exact"/>
        <w:rPr>
          <w:sz w:val="20"/>
          <w:szCs w:val="20"/>
          <w:color w:val="auto"/>
        </w:rPr>
      </w:pPr>
    </w:p>
    <w:p>
      <w:pPr>
        <w:ind w:left="120"/>
        <w:spacing w:after="0"/>
        <w:tabs>
          <w:tab w:leader="none" w:pos="5400" w:val="left"/>
        </w:tabs>
        <w:rPr>
          <w:sz w:val="20"/>
          <w:szCs w:val="20"/>
          <w:color w:val="auto"/>
        </w:rPr>
      </w:pPr>
      <w:r>
        <w:rPr>
          <w:rFonts w:ascii="Times New Roman" w:cs="Times New Roman" w:eastAsia="Times New Roman" w:hAnsi="Times New Roman"/>
          <w:sz w:val="22"/>
          <w:szCs w:val="22"/>
          <w:color w:val="auto"/>
        </w:rPr>
        <w:t>Participant’s Signature</w:t>
      </w:r>
      <w:r>
        <w:rPr>
          <w:sz w:val="20"/>
          <w:szCs w:val="20"/>
          <w:color w:val="auto"/>
        </w:rPr>
        <w:tab/>
      </w:r>
      <w:r>
        <w:rPr>
          <w:rFonts w:ascii="Times New Roman" w:cs="Times New Roman" w:eastAsia="Times New Roman" w:hAnsi="Times New Roman"/>
          <w:sz w:val="21"/>
          <w:szCs w:val="21"/>
          <w:color w:val="auto"/>
        </w:rPr>
        <w:t>Name:</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Title: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Participant’s 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2143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53"/>
        </w:trPr>
        <w:tc>
          <w:tcPr>
            <w:tcW w:w="2400" w:type="dxa"/>
            <w:vAlign w:val="bottom"/>
          </w:tcPr>
          <w:p>
            <w:pPr>
              <w:spacing w:after="0"/>
              <w:rPr>
                <w:sz w:val="22"/>
                <w:szCs w:val="22"/>
                <w:color w:val="auto"/>
              </w:rPr>
            </w:pPr>
          </w:p>
        </w:tc>
        <w:tc>
          <w:tcPr>
            <w:tcW w:w="8840" w:type="dxa"/>
            <w:vAlign w:val="bottom"/>
          </w:tcPr>
          <w:p>
            <w:pPr>
              <w:jc w:val="center"/>
              <w:ind w:right="2272"/>
              <w:spacing w:after="0"/>
              <w:rPr>
                <w:sz w:val="20"/>
                <w:szCs w:val="20"/>
                <w:color w:val="auto"/>
              </w:rPr>
            </w:pPr>
            <w:r>
              <w:rPr>
                <w:rFonts w:ascii="Times New Roman" w:cs="Times New Roman" w:eastAsia="Times New Roman" w:hAnsi="Times New Roman"/>
                <w:sz w:val="22"/>
                <w:szCs w:val="22"/>
                <w:b w:val="1"/>
                <w:bCs w:val="1"/>
                <w:color w:val="auto"/>
                <w:w w:val="97"/>
              </w:rPr>
              <w:t>SITIME CORPORATION</w:t>
            </w:r>
          </w:p>
        </w:tc>
      </w:tr>
      <w:tr>
        <w:trPr>
          <w:trHeight w:val="243"/>
        </w:trPr>
        <w:tc>
          <w:tcPr>
            <w:tcW w:w="2400" w:type="dxa"/>
            <w:vAlign w:val="bottom"/>
          </w:tcPr>
          <w:p>
            <w:pPr>
              <w:spacing w:after="0"/>
              <w:rPr>
                <w:sz w:val="21"/>
                <w:szCs w:val="21"/>
                <w:color w:val="auto"/>
              </w:rPr>
            </w:pPr>
          </w:p>
        </w:tc>
        <w:tc>
          <w:tcPr>
            <w:tcW w:w="8840" w:type="dxa"/>
            <w:vAlign w:val="bottom"/>
          </w:tcPr>
          <w:p>
            <w:pPr>
              <w:jc w:val="center"/>
              <w:ind w:right="22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AMENDED AND RESTATED</w:t>
            </w:r>
          </w:p>
        </w:tc>
      </w:tr>
      <w:tr>
        <w:trPr>
          <w:trHeight w:val="243"/>
        </w:trPr>
        <w:tc>
          <w:tcPr>
            <w:tcW w:w="2400" w:type="dxa"/>
            <w:vAlign w:val="bottom"/>
          </w:tcPr>
          <w:p>
            <w:pPr>
              <w:spacing w:after="0"/>
              <w:rPr>
                <w:sz w:val="21"/>
                <w:szCs w:val="21"/>
                <w:color w:val="auto"/>
              </w:rPr>
            </w:pPr>
          </w:p>
        </w:tc>
        <w:tc>
          <w:tcPr>
            <w:tcW w:w="8840" w:type="dxa"/>
            <w:vAlign w:val="bottom"/>
          </w:tcPr>
          <w:p>
            <w:pPr>
              <w:jc w:val="center"/>
              <w:ind w:right="22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2022 INDUCEMENT AWARD PLAN</w:t>
            </w:r>
          </w:p>
        </w:tc>
      </w:tr>
      <w:tr>
        <w:trPr>
          <w:trHeight w:val="286"/>
        </w:trPr>
        <w:tc>
          <w:tcPr>
            <w:tcW w:w="2400" w:type="dxa"/>
            <w:vAlign w:val="bottom"/>
          </w:tcPr>
          <w:p>
            <w:pPr>
              <w:spacing w:after="0"/>
              <w:rPr>
                <w:sz w:val="24"/>
                <w:szCs w:val="24"/>
                <w:color w:val="auto"/>
              </w:rPr>
            </w:pPr>
          </w:p>
        </w:tc>
        <w:tc>
          <w:tcPr>
            <w:tcW w:w="8840" w:type="dxa"/>
            <w:vAlign w:val="bottom"/>
          </w:tcPr>
          <w:p>
            <w:pPr>
              <w:jc w:val="center"/>
              <w:ind w:right="2292"/>
              <w:spacing w:after="0"/>
              <w:rPr>
                <w:sz w:val="20"/>
                <w:szCs w:val="20"/>
                <w:color w:val="auto"/>
              </w:rPr>
            </w:pPr>
            <w:r>
              <w:rPr>
                <w:rFonts w:ascii="Times New Roman" w:cs="Times New Roman" w:eastAsia="Times New Roman" w:hAnsi="Times New Roman"/>
                <w:sz w:val="22"/>
                <w:szCs w:val="22"/>
                <w:b w:val="1"/>
                <w:bCs w:val="1"/>
                <w:color w:val="auto"/>
                <w:w w:val="98"/>
              </w:rPr>
              <w:t>RESTRICTED STOCK UNIT AGREEMENT</w:t>
            </w:r>
          </w:p>
        </w:tc>
      </w:tr>
      <w:tr>
        <w:trPr>
          <w:trHeight w:val="321"/>
        </w:trPr>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The Plan and</w:t>
            </w: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The RSUs are granted pursuant and subject in all respects to the applicable provisions of the</w:t>
            </w:r>
          </w:p>
        </w:tc>
      </w:tr>
      <w:tr>
        <w:trPr>
          <w:trHeight w:val="243"/>
        </w:trPr>
        <w:tc>
          <w:tcPr>
            <w:tcW w:w="24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Agreements</w:t>
            </w: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Notice of Restricted Stock Unit Award (the “</w:t>
            </w: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this Restricted Stock Unit Agreement,</w:t>
            </w:r>
          </w:p>
        </w:tc>
      </w:tr>
      <w:tr>
        <w:trPr>
          <w:trHeight w:val="247"/>
        </w:trPr>
        <w:tc>
          <w:tcPr>
            <w:tcW w:w="2400" w:type="dxa"/>
            <w:vAlign w:val="bottom"/>
          </w:tcPr>
          <w:p>
            <w:pPr>
              <w:spacing w:after="0"/>
              <w:rPr>
                <w:sz w:val="21"/>
                <w:szCs w:val="21"/>
                <w:color w:val="auto"/>
              </w:rPr>
            </w:pPr>
          </w:p>
        </w:tc>
        <w:tc>
          <w:tcPr>
            <w:tcW w:w="8840" w:type="dxa"/>
            <w:vAlign w:val="bottom"/>
          </w:tcPr>
          <w:p>
            <w:pPr>
              <w:ind w:left="560"/>
              <w:spacing w:after="0" w:line="247" w:lineRule="exact"/>
              <w:rPr>
                <w:sz w:val="20"/>
                <w:szCs w:val="20"/>
                <w:color w:val="auto"/>
              </w:rPr>
            </w:pPr>
            <w:r>
              <w:rPr>
                <w:rFonts w:ascii="Times New Roman" w:cs="Times New Roman" w:eastAsia="Times New Roman" w:hAnsi="Times New Roman"/>
                <w:sz w:val="22"/>
                <w:szCs w:val="22"/>
                <w:color w:val="auto"/>
                <w:w w:val="98"/>
              </w:rPr>
              <w:t>including the Appendices attached hereto, (collectively, the “</w:t>
            </w:r>
            <w:r>
              <w:rPr>
                <w:rFonts w:ascii="Times New Roman" w:cs="Times New Roman" w:eastAsia="Times New Roman" w:hAnsi="Times New Roman"/>
                <w:sz w:val="22"/>
                <w:szCs w:val="22"/>
                <w:i w:val="1"/>
                <w:iCs w:val="1"/>
                <w:color w:val="auto"/>
                <w:w w:val="98"/>
              </w:rPr>
              <w:t>Agreement</w:t>
            </w:r>
            <w:r>
              <w:rPr>
                <w:rFonts w:ascii="Times New Roman" w:cs="Times New Roman" w:eastAsia="Times New Roman" w:hAnsi="Times New Roman"/>
                <w:sz w:val="22"/>
                <w:szCs w:val="22"/>
                <w:color w:val="auto"/>
                <w:w w:val="98"/>
              </w:rPr>
              <w:t>”), and the Plan, which</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9"/>
              </w:rPr>
              <w:t>is incorporated herein by reference. Capitalized terms not defined in this Agreement will have</w:t>
            </w:r>
          </w:p>
        </w:tc>
      </w:tr>
      <w:tr>
        <w:trPr>
          <w:trHeight w:val="282"/>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the meanings ascribed to them in the Plan.</w:t>
            </w:r>
          </w:p>
        </w:tc>
      </w:tr>
      <w:tr>
        <w:trPr>
          <w:trHeight w:val="420"/>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9"/>
              </w:rPr>
              <w:t>The attached Notice, this Agreement, and the Plan constitute the entire understanding between</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you and the Company regarding this Award. Any prior agreements, commitments or</w:t>
            </w:r>
          </w:p>
        </w:tc>
      </w:tr>
      <w:tr>
        <w:trPr>
          <w:trHeight w:val="282"/>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negotiations concerning this Award are superseded.</w:t>
            </w:r>
          </w:p>
        </w:tc>
      </w:tr>
      <w:tr>
        <w:trPr>
          <w:trHeight w:val="513"/>
        </w:trPr>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Payment for RSUs</w:t>
            </w: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No cash payment is required for the RSUs you receive.</w:t>
            </w:r>
          </w:p>
        </w:tc>
      </w:tr>
      <w:tr>
        <w:trPr>
          <w:trHeight w:val="474"/>
        </w:trPr>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Vesting</w:t>
            </w: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The RSUs will vest as shown in the Notice. No additional RSUs vest after your Service has</w:t>
            </w:r>
          </w:p>
        </w:tc>
      </w:tr>
      <w:tr>
        <w:trPr>
          <w:trHeight w:val="282"/>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terminated for any reason.</w:t>
            </w:r>
          </w:p>
        </w:tc>
      </w:tr>
      <w:tr>
        <w:trPr>
          <w:trHeight w:val="474"/>
        </w:trPr>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Forfeiture</w:t>
            </w: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If your Service terminates for any reason, then any unvested RSUs will be forfeited as of the</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termination date. You receive no payment for RSUs that are forfeited. For purposes of this</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Award, the termination date will be the date on which you cease to provide active Service to</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Company or any Subsidiary or Affiliate (regardless of the reason for such termination and</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whether or not later found to be invalid or in breach of employment laws in the jurisdiction</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where you are providing Service or the terms of your service agreement, if any). Any right to</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vest in the RSUs will terminate as of such date and will not be extended by any notice period or</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any period of “garden leave” or similar period mandated under the laws in the jurisdiction</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where you are providing Service or the terms of your service agreement, if any; the Committee</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shall have the exclusive discretion to determine when you are no longer actively providing</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services for purposes of your RSUs (including whether you may still be considered to be</w:t>
            </w:r>
          </w:p>
        </w:tc>
      </w:tr>
      <w:tr>
        <w:trPr>
          <w:trHeight w:val="282"/>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providing services while on a leave of absence).</w:t>
            </w:r>
          </w:p>
        </w:tc>
      </w:tr>
      <w:tr>
        <w:trPr>
          <w:trHeight w:val="470"/>
        </w:trPr>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Leaves of Absence</w:t>
            </w: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8"/>
              </w:rPr>
              <w:t>For purposes of this Award, your Service does not terminate when you go on a military leave, a</w:t>
            </w:r>
          </w:p>
        </w:tc>
      </w:tr>
      <w:tr>
        <w:trPr>
          <w:trHeight w:val="247"/>
        </w:trPr>
        <w:tc>
          <w:tcPr>
            <w:tcW w:w="2400" w:type="dxa"/>
            <w:vAlign w:val="bottom"/>
          </w:tcPr>
          <w:p>
            <w:pPr>
              <w:spacing w:after="0"/>
              <w:rPr>
                <w:sz w:val="21"/>
                <w:szCs w:val="21"/>
                <w:color w:val="auto"/>
              </w:rPr>
            </w:pPr>
          </w:p>
        </w:tc>
        <w:tc>
          <w:tcPr>
            <w:tcW w:w="8840" w:type="dxa"/>
            <w:vAlign w:val="bottom"/>
          </w:tcPr>
          <w:p>
            <w:pPr>
              <w:ind w:left="560"/>
              <w:spacing w:after="0" w:line="247" w:lineRule="exact"/>
              <w:rPr>
                <w:sz w:val="20"/>
                <w:szCs w:val="20"/>
                <w:color w:val="auto"/>
              </w:rPr>
            </w:pPr>
            <w:r>
              <w:rPr>
                <w:rFonts w:ascii="Times New Roman" w:cs="Times New Roman" w:eastAsia="Times New Roman" w:hAnsi="Times New Roman"/>
                <w:sz w:val="22"/>
                <w:szCs w:val="22"/>
                <w:color w:val="auto"/>
              </w:rPr>
              <w:t xml:space="preserve">sick leave or another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leave of absence, if the leave of absence was approved by the</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Company or your Employer (as defined below), if different, in writing and if continued</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crediting of Service is required by the terms of the leave or by applicable law. However, your</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Service will terminate when the approved leave ends, unless you immediately return to active</w:t>
            </w:r>
          </w:p>
        </w:tc>
      </w:tr>
      <w:tr>
        <w:trPr>
          <w:trHeight w:val="282"/>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work.</w:t>
            </w:r>
          </w:p>
        </w:tc>
      </w:tr>
      <w:tr>
        <w:trPr>
          <w:trHeight w:val="365"/>
        </w:trPr>
        <w:tc>
          <w:tcPr>
            <w:tcW w:w="2400" w:type="dxa"/>
            <w:vAlign w:val="bottom"/>
          </w:tcPr>
          <w:p>
            <w:pPr>
              <w:spacing w:after="0"/>
              <w:rPr>
                <w:sz w:val="24"/>
                <w:szCs w:val="24"/>
                <w:color w:val="auto"/>
              </w:rPr>
            </w:pPr>
          </w:p>
        </w:tc>
        <w:tc>
          <w:tcPr>
            <w:tcW w:w="8840" w:type="dxa"/>
            <w:vAlign w:val="bottom"/>
          </w:tcPr>
          <w:p>
            <w:pPr>
              <w:ind w:left="3200"/>
              <w:spacing w:after="0"/>
              <w:rPr>
                <w:sz w:val="20"/>
                <w:szCs w:val="20"/>
                <w:color w:val="auto"/>
              </w:rPr>
            </w:pPr>
            <w:r>
              <w:rPr>
                <w:rFonts w:ascii="Times New Roman" w:cs="Times New Roman" w:eastAsia="Times New Roman" w:hAnsi="Times New Roman"/>
                <w:sz w:val="22"/>
                <w:szCs w:val="22"/>
                <w:color w:val="auto"/>
              </w:rPr>
              <w:t>2</w:t>
            </w:r>
          </w:p>
        </w:tc>
      </w:tr>
      <w:tr>
        <w:trPr>
          <w:trHeight w:val="103"/>
        </w:trPr>
        <w:tc>
          <w:tcPr>
            <w:tcW w:w="2400" w:type="dxa"/>
            <w:vAlign w:val="bottom"/>
            <w:tcBorders>
              <w:bottom w:val="single" w:sz="8" w:color="9A9A9A"/>
            </w:tcBorders>
          </w:tcPr>
          <w:p>
            <w:pPr>
              <w:spacing w:after="0"/>
              <w:rPr>
                <w:sz w:val="8"/>
                <w:szCs w:val="8"/>
                <w:color w:val="auto"/>
              </w:rPr>
            </w:pPr>
          </w:p>
        </w:tc>
        <w:tc>
          <w:tcPr>
            <w:tcW w:w="8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53"/>
        </w:trPr>
        <w:tc>
          <w:tcPr>
            <w:tcW w:w="2440" w:type="dxa"/>
            <w:vAlign w:val="bottom"/>
          </w:tcPr>
          <w:p>
            <w:pPr>
              <w:spacing w:after="0"/>
              <w:rPr>
                <w:sz w:val="22"/>
                <w:szCs w:val="22"/>
                <w:color w:val="auto"/>
              </w:rPr>
            </w:pP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If you go on a leave of absence, then the vesting schedule specified in the Notice may be</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w w:val="99"/>
              </w:rPr>
              <w:t>adjusted in accordance with the Company’s leave of absence policy or the terms of your leave.</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If you commence working on a part-time basis, then the vesting schedule specified in the</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w w:val="99"/>
              </w:rPr>
              <w:t>Notice may be adjusted in accordance with the Company’s part- time work policy or the terms</w:t>
            </w:r>
          </w:p>
        </w:tc>
      </w:tr>
      <w:tr>
        <w:trPr>
          <w:trHeight w:val="282"/>
        </w:trPr>
        <w:tc>
          <w:tcPr>
            <w:tcW w:w="244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of an agreement between you and the Company pertaining to your part-time schedule.</w:t>
            </w:r>
          </w:p>
        </w:tc>
      </w:tr>
      <w:tr>
        <w:trPr>
          <w:trHeight w:val="474"/>
        </w:trPr>
        <w:tc>
          <w:tcPr>
            <w:tcW w:w="24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Nature of RSUs</w:t>
            </w: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Your RSUs are mere bookkeeping entries. They represent only the Company’s unfunded and</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unsecured promise to issue Shares on a future date. As a holder of RSUs, you have no rights</w:t>
            </w:r>
          </w:p>
        </w:tc>
      </w:tr>
      <w:tr>
        <w:trPr>
          <w:trHeight w:val="282"/>
        </w:trPr>
        <w:tc>
          <w:tcPr>
            <w:tcW w:w="244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other than the rights of a general creditor of the Company.</w:t>
            </w:r>
          </w:p>
        </w:tc>
      </w:tr>
      <w:tr>
        <w:trPr>
          <w:trHeight w:val="470"/>
        </w:trPr>
        <w:tc>
          <w:tcPr>
            <w:tcW w:w="24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No Voting Rights</w:t>
            </w: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7"/>
              </w:rPr>
              <w:t>Your RSUs carry neither voting rights nor rights to dividends. You, or your estate or heirs, have</w:t>
            </w:r>
          </w:p>
        </w:tc>
      </w:tr>
      <w:tr>
        <w:trPr>
          <w:trHeight w:val="247"/>
        </w:trPr>
        <w:tc>
          <w:tcPr>
            <w:tcW w:w="244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or Dividends</w:t>
            </w:r>
          </w:p>
        </w:tc>
        <w:tc>
          <w:tcPr>
            <w:tcW w:w="8800" w:type="dxa"/>
            <w:vAlign w:val="bottom"/>
          </w:tcPr>
          <w:p>
            <w:pPr>
              <w:ind w:left="520"/>
              <w:spacing w:after="0" w:line="247" w:lineRule="exact"/>
              <w:rPr>
                <w:sz w:val="20"/>
                <w:szCs w:val="20"/>
                <w:color w:val="auto"/>
              </w:rPr>
            </w:pPr>
            <w:r>
              <w:rPr>
                <w:rFonts w:ascii="Times New Roman" w:cs="Times New Roman" w:eastAsia="Times New Roman" w:hAnsi="Times New Roman"/>
                <w:sz w:val="22"/>
                <w:szCs w:val="22"/>
                <w:color w:val="auto"/>
              </w:rPr>
              <w:t>no rights as a stockholder of the Company unless and until your RSUs vest and are settled by</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issuing Shares. No adjustments will be made for dividends or other rights if the applicable</w:t>
            </w:r>
          </w:p>
        </w:tc>
      </w:tr>
      <w:tr>
        <w:trPr>
          <w:trHeight w:val="282"/>
        </w:trPr>
        <w:tc>
          <w:tcPr>
            <w:tcW w:w="244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record date occurs before your Shares are issued, except as described in the Plan.</w:t>
            </w:r>
          </w:p>
        </w:tc>
      </w:tr>
      <w:tr>
        <w:trPr>
          <w:trHeight w:val="470"/>
        </w:trPr>
        <w:tc>
          <w:tcPr>
            <w:tcW w:w="24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RSUs</w:t>
            </w: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9"/>
              </w:rPr>
              <w:t>You may not sell, transfer, assign, pledge or otherwise dispose of any RSUs. For instance, you</w:t>
            </w:r>
          </w:p>
        </w:tc>
      </w:tr>
      <w:tr>
        <w:trPr>
          <w:trHeight w:val="247"/>
        </w:trPr>
        <w:tc>
          <w:tcPr>
            <w:tcW w:w="244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Nontransferable</w:t>
            </w:r>
          </w:p>
        </w:tc>
        <w:tc>
          <w:tcPr>
            <w:tcW w:w="8800" w:type="dxa"/>
            <w:vAlign w:val="bottom"/>
          </w:tcPr>
          <w:p>
            <w:pPr>
              <w:ind w:left="520"/>
              <w:spacing w:after="0" w:line="247" w:lineRule="exact"/>
              <w:rPr>
                <w:sz w:val="20"/>
                <w:szCs w:val="20"/>
                <w:color w:val="auto"/>
              </w:rPr>
            </w:pPr>
            <w:r>
              <w:rPr>
                <w:rFonts w:ascii="Times New Roman" w:cs="Times New Roman" w:eastAsia="Times New Roman" w:hAnsi="Times New Roman"/>
                <w:sz w:val="22"/>
                <w:szCs w:val="22"/>
                <w:color w:val="auto"/>
              </w:rPr>
              <w:t>may not use your RSUs as security for a loan. If you attempt to do any of these things, your</w:t>
            </w:r>
          </w:p>
        </w:tc>
      </w:tr>
      <w:tr>
        <w:trPr>
          <w:trHeight w:val="282"/>
        </w:trPr>
        <w:tc>
          <w:tcPr>
            <w:tcW w:w="244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RSUs will immediately be forfeited.</w:t>
            </w:r>
          </w:p>
        </w:tc>
      </w:tr>
      <w:tr>
        <w:trPr>
          <w:trHeight w:val="474"/>
        </w:trPr>
        <w:tc>
          <w:tcPr>
            <w:tcW w:w="24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Settlement of RSUs</w:t>
            </w: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Each of your RSUs will be settled when it vests; provided, however, that if the Committee</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w w:val="98"/>
              </w:rPr>
              <w:t>requires you to pay withholding taxes through a sale of Shares, settlement of each RSU may be</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deferred to the first permissible trading day for the Shares, if later than the applicable vesting</w:t>
            </w:r>
          </w:p>
        </w:tc>
      </w:tr>
      <w:tr>
        <w:trPr>
          <w:trHeight w:val="282"/>
        </w:trPr>
        <w:tc>
          <w:tcPr>
            <w:tcW w:w="244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date.</w:t>
            </w:r>
          </w:p>
        </w:tc>
      </w:tr>
      <w:tr>
        <w:trPr>
          <w:trHeight w:val="420"/>
        </w:trPr>
        <w:tc>
          <w:tcPr>
            <w:tcW w:w="244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9"/>
              </w:rPr>
              <w:t>Under no circumstances may your RSUs be settled later than two and one-half (2-1/2) months</w:t>
            </w:r>
          </w:p>
        </w:tc>
      </w:tr>
      <w:tr>
        <w:trPr>
          <w:trHeight w:val="282"/>
        </w:trPr>
        <w:tc>
          <w:tcPr>
            <w:tcW w:w="244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following the calendar year in which the applicable vesting date occurs.</w:t>
            </w:r>
          </w:p>
        </w:tc>
      </w:tr>
      <w:tr>
        <w:trPr>
          <w:trHeight w:val="420"/>
        </w:trPr>
        <w:tc>
          <w:tcPr>
            <w:tcW w:w="244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9"/>
              </w:rPr>
              <w:t>For purposes of this Agreement, “permissible trading day” means a day that satisfies all of the</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w w:val="98"/>
              </w:rPr>
              <w:t>following requirements: (1) the exchange on which the Shares are traded is open for trading on</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that day; (2) you are permitted to sell Shares on that day without incurring liability under</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Section 16(b) of the Exchange Act; (3) either (a) you are not in possession of material non-</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w w:val="98"/>
              </w:rPr>
              <w:t>public information that would make it illegal for you to sell Shares on that day under Rule 10b-</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w w:val="99"/>
              </w:rPr>
              <w:t>5 under the Exchange Act or (b) Rule 10b5-1 under the Exchange Act would apply to the sale;</w:t>
            </w:r>
          </w:p>
        </w:tc>
      </w:tr>
      <w:tr>
        <w:trPr>
          <w:trHeight w:val="243"/>
        </w:trPr>
        <w:tc>
          <w:tcPr>
            <w:tcW w:w="2440" w:type="dxa"/>
            <w:vAlign w:val="bottom"/>
          </w:tcPr>
          <w:p>
            <w:pPr>
              <w:spacing w:after="0"/>
              <w:rPr>
                <w:sz w:val="21"/>
                <w:szCs w:val="21"/>
                <w:color w:val="auto"/>
              </w:rPr>
            </w:pPr>
          </w:p>
        </w:tc>
        <w:tc>
          <w:tcPr>
            <w:tcW w:w="88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w w:val="98"/>
              </w:rPr>
              <w:t>(4) you are permitted to sell Shares on that day under such written insider trading policy as may</w:t>
            </w:r>
          </w:p>
        </w:tc>
      </w:tr>
      <w:tr>
        <w:trPr>
          <w:trHeight w:val="282"/>
        </w:trPr>
        <w:tc>
          <w:tcPr>
            <w:tcW w:w="2440" w:type="dxa"/>
            <w:vAlign w:val="bottom"/>
          </w:tcPr>
          <w:p>
            <w:pPr>
              <w:spacing w:after="0"/>
              <w:rPr>
                <w:sz w:val="24"/>
                <w:szCs w:val="24"/>
                <w:color w:val="auto"/>
              </w:rPr>
            </w:pPr>
          </w:p>
        </w:tc>
        <w:tc>
          <w:tcPr>
            <w:tcW w:w="880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9"/>
              </w:rPr>
              <w:t>have been adopted by the Company; and (5) you are not prohibited from selling Shares on that</w:t>
            </w:r>
          </w:p>
        </w:tc>
      </w:tr>
      <w:tr>
        <w:trPr>
          <w:trHeight w:val="365"/>
        </w:trPr>
        <w:tc>
          <w:tcPr>
            <w:tcW w:w="2440" w:type="dxa"/>
            <w:vAlign w:val="bottom"/>
          </w:tcPr>
          <w:p>
            <w:pPr>
              <w:spacing w:after="0"/>
              <w:rPr>
                <w:sz w:val="24"/>
                <w:szCs w:val="24"/>
                <w:color w:val="auto"/>
              </w:rPr>
            </w:pPr>
          </w:p>
        </w:tc>
        <w:tc>
          <w:tcPr>
            <w:tcW w:w="8800" w:type="dxa"/>
            <w:vAlign w:val="bottom"/>
          </w:tcPr>
          <w:p>
            <w:pPr>
              <w:ind w:left="3160"/>
              <w:spacing w:after="0"/>
              <w:rPr>
                <w:sz w:val="20"/>
                <w:szCs w:val="20"/>
                <w:color w:val="auto"/>
              </w:rPr>
            </w:pPr>
            <w:r>
              <w:rPr>
                <w:rFonts w:ascii="Times New Roman" w:cs="Times New Roman" w:eastAsia="Times New Roman" w:hAnsi="Times New Roman"/>
                <w:sz w:val="22"/>
                <w:szCs w:val="22"/>
                <w:color w:val="auto"/>
              </w:rPr>
              <w:t>3</w:t>
            </w:r>
          </w:p>
        </w:tc>
      </w:tr>
      <w:tr>
        <w:trPr>
          <w:trHeight w:val="103"/>
        </w:trPr>
        <w:tc>
          <w:tcPr>
            <w:tcW w:w="2440" w:type="dxa"/>
            <w:vAlign w:val="bottom"/>
            <w:tcBorders>
              <w:bottom w:val="single" w:sz="8" w:color="9A9A9A"/>
            </w:tcBorders>
          </w:tcPr>
          <w:p>
            <w:pPr>
              <w:spacing w:after="0"/>
              <w:rPr>
                <w:sz w:val="8"/>
                <w:szCs w:val="8"/>
                <w:color w:val="auto"/>
              </w:rPr>
            </w:pPr>
          </w:p>
        </w:tc>
        <w:tc>
          <w:tcPr>
            <w:tcW w:w="8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82"/>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day by a written agreement between you and the Company or a third party.</w:t>
            </w:r>
          </w:p>
        </w:tc>
      </w:tr>
      <w:tr>
        <w:trPr>
          <w:trHeight w:val="420"/>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9"/>
              </w:rPr>
              <w:t>At the time of settlement, you will receive one Share for each vested RSU; provided, however,</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that no fractional Shares will be issued or delivered pursuant to the Plan or this Agreement, and</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the Committee will determine whether cash will be paid in lieu of any fractional Share or</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9"/>
              </w:rPr>
              <w:t>whether such fractional Share and any rights thereto will be canceled, terminated or otherwise</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eliminated. In addition, the Shares are issued to you subject to the condition that the issuance of</w:t>
            </w:r>
          </w:p>
        </w:tc>
      </w:tr>
      <w:tr>
        <w:trPr>
          <w:trHeight w:val="282"/>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the Shares not violate any law or regulation.</w:t>
            </w:r>
          </w:p>
        </w:tc>
      </w:tr>
      <w:tr>
        <w:trPr>
          <w:trHeight w:val="470"/>
        </w:trPr>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Withholding Taxes</w:t>
            </w: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Regardless of any action the Company and/or the Subsidiary or Affiliate employing you</w:t>
            </w:r>
          </w:p>
        </w:tc>
      </w:tr>
      <w:tr>
        <w:trPr>
          <w:trHeight w:val="243"/>
        </w:trPr>
        <w:tc>
          <w:tcPr>
            <w:tcW w:w="24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and Stock</w:t>
            </w: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i w:val="1"/>
                <w:iCs w:val="1"/>
                <w:color w:val="auto"/>
                <w:w w:val="98"/>
              </w:rPr>
              <w:t>Employer</w:t>
            </w:r>
            <w:r>
              <w:rPr>
                <w:rFonts w:ascii="Times New Roman" w:cs="Times New Roman" w:eastAsia="Times New Roman" w:hAnsi="Times New Roman"/>
                <w:sz w:val="22"/>
                <w:szCs w:val="22"/>
                <w:color w:val="auto"/>
                <w:w w:val="98"/>
              </w:rPr>
              <w:t>”) takes with respect to any or all income tax, social insurance, payroll tax, payment</w:t>
            </w:r>
          </w:p>
        </w:tc>
      </w:tr>
      <w:tr>
        <w:trPr>
          <w:trHeight w:val="247"/>
        </w:trPr>
        <w:tc>
          <w:tcPr>
            <w:tcW w:w="240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Withholding</w:t>
            </w:r>
          </w:p>
        </w:tc>
        <w:tc>
          <w:tcPr>
            <w:tcW w:w="8840" w:type="dxa"/>
            <w:vAlign w:val="bottom"/>
          </w:tcPr>
          <w:p>
            <w:pPr>
              <w:ind w:left="560"/>
              <w:spacing w:after="0" w:line="247" w:lineRule="exact"/>
              <w:rPr>
                <w:sz w:val="20"/>
                <w:szCs w:val="20"/>
                <w:color w:val="auto"/>
              </w:rPr>
            </w:pPr>
            <w:r>
              <w:rPr>
                <w:rFonts w:ascii="Times New Roman" w:cs="Times New Roman" w:eastAsia="Times New Roman" w:hAnsi="Times New Roman"/>
                <w:sz w:val="22"/>
                <w:szCs w:val="22"/>
                <w:color w:val="auto"/>
              </w:rPr>
              <w:t>on account or other tax-related withholding (“</w:t>
            </w:r>
            <w:r>
              <w:rPr>
                <w:rFonts w:ascii="Times New Roman" w:cs="Times New Roman" w:eastAsia="Times New Roman" w:hAnsi="Times New Roman"/>
                <w:sz w:val="22"/>
                <w:szCs w:val="22"/>
                <w:i w:val="1"/>
                <w:iCs w:val="1"/>
                <w:color w:val="auto"/>
              </w:rPr>
              <w:t>Tax-Related Items</w:t>
            </w:r>
            <w:r>
              <w:rPr>
                <w:rFonts w:ascii="Times New Roman" w:cs="Times New Roman" w:eastAsia="Times New Roman" w:hAnsi="Times New Roman"/>
                <w:sz w:val="22"/>
                <w:szCs w:val="22"/>
                <w:color w:val="auto"/>
              </w:rPr>
              <w:t>”), you acknowledge that the</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ultimate liability for all Tax-Related Items legally due by you is and remains your</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responsibility and that the Company and/or your Employer (1) make no representations or</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undertakings regarding the treatment of any Tax-Related Items in connection with any aspect</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of this Award, including the award, vesting or settlement of the RSUs, the subsequent sale of</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8"/>
              </w:rPr>
              <w:t>Shares acquired pursuant to settlement and the receipt of any dividends; and (2) do not commit</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to structure the terms of the award or any aspect of the RSUs to reduce or eliminate your</w:t>
            </w:r>
          </w:p>
        </w:tc>
      </w:tr>
      <w:tr>
        <w:trPr>
          <w:trHeight w:val="282"/>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liability for Tax-Related Items.</w:t>
            </w:r>
          </w:p>
        </w:tc>
      </w:tr>
      <w:tr>
        <w:trPr>
          <w:trHeight w:val="420"/>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9"/>
              </w:rPr>
              <w:t>Prior to the settlement of the RSUs, you shall pay or make adequate arrangements satisfactory</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to the Company and/or the Employer to satisfy all withholding and payment on account</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9"/>
              </w:rPr>
              <w:t>obligations of the Company and/or your Employer. In this regard, you authorize the Company</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and/or your Employer to withhold all applicable Tax-Related Items legally payable by you</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from your wages or other cash compensation paid to you by the Company and/or your</w:t>
            </w:r>
          </w:p>
        </w:tc>
      </w:tr>
      <w:tr>
        <w:trPr>
          <w:trHeight w:val="282"/>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Employer.</w:t>
            </w:r>
          </w:p>
        </w:tc>
      </w:tr>
      <w:tr>
        <w:trPr>
          <w:trHeight w:val="420"/>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9"/>
              </w:rPr>
              <w:t>Unless an alternative arrangement satisfactory to the Committee has been provided prior to the</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vesting date, the default method for paying withholding taxes is withholding Shares that</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9"/>
              </w:rPr>
              <w:t>otherwise would be issued to you when the RSUs are settled, provided that the Company only</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withholds Shares having a Fair Market Value equal to the amount necessary to satisfy the</w:t>
            </w:r>
          </w:p>
        </w:tc>
      </w:tr>
      <w:tr>
        <w:trPr>
          <w:trHeight w:val="282"/>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maximum legally required tax withholding.</w:t>
            </w:r>
          </w:p>
        </w:tc>
      </w:tr>
      <w:tr>
        <w:trPr>
          <w:trHeight w:val="420"/>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The Committee may also require the withholding of taxes from the proceeds of the sale of the</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Shares, either through a voluntary sale or through a mandatory sale arranged by the Company</w:t>
            </w:r>
          </w:p>
        </w:tc>
      </w:tr>
      <w:tr>
        <w:trPr>
          <w:trHeight w:val="243"/>
        </w:trPr>
        <w:tc>
          <w:tcPr>
            <w:tcW w:w="2400" w:type="dxa"/>
            <w:vAlign w:val="bottom"/>
          </w:tcPr>
          <w:p>
            <w:pPr>
              <w:spacing w:after="0"/>
              <w:rPr>
                <w:sz w:val="21"/>
                <w:szCs w:val="21"/>
                <w:color w:val="auto"/>
              </w:rPr>
            </w:pPr>
          </w:p>
        </w:tc>
        <w:tc>
          <w:tcPr>
            <w:tcW w:w="884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(on your behalf pursuant to this authorization), or any other arrangement approved by the</w:t>
            </w:r>
          </w:p>
        </w:tc>
      </w:tr>
      <w:tr>
        <w:trPr>
          <w:trHeight w:val="282"/>
        </w:trPr>
        <w:tc>
          <w:tcPr>
            <w:tcW w:w="2400" w:type="dxa"/>
            <w:vAlign w:val="bottom"/>
          </w:tcPr>
          <w:p>
            <w:pPr>
              <w:spacing w:after="0"/>
              <w:rPr>
                <w:sz w:val="24"/>
                <w:szCs w:val="24"/>
                <w:color w:val="auto"/>
              </w:rPr>
            </w:pPr>
          </w:p>
        </w:tc>
        <w:tc>
          <w:tcPr>
            <w:tcW w:w="8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Committee.</w:t>
            </w:r>
          </w:p>
        </w:tc>
      </w:tr>
      <w:tr>
        <w:trPr>
          <w:trHeight w:val="621"/>
        </w:trPr>
        <w:tc>
          <w:tcPr>
            <w:tcW w:w="2400" w:type="dxa"/>
            <w:vAlign w:val="bottom"/>
          </w:tcPr>
          <w:p>
            <w:pPr>
              <w:spacing w:after="0"/>
              <w:rPr>
                <w:sz w:val="24"/>
                <w:szCs w:val="24"/>
                <w:color w:val="auto"/>
              </w:rPr>
            </w:pPr>
          </w:p>
        </w:tc>
        <w:tc>
          <w:tcPr>
            <w:tcW w:w="8840" w:type="dxa"/>
            <w:vAlign w:val="bottom"/>
          </w:tcPr>
          <w:p>
            <w:pPr>
              <w:ind w:left="3200"/>
              <w:spacing w:after="0"/>
              <w:rPr>
                <w:sz w:val="20"/>
                <w:szCs w:val="20"/>
                <w:color w:val="auto"/>
              </w:rPr>
            </w:pPr>
            <w:r>
              <w:rPr>
                <w:rFonts w:ascii="Times New Roman" w:cs="Times New Roman" w:eastAsia="Times New Roman" w:hAnsi="Times New Roman"/>
                <w:sz w:val="22"/>
                <w:szCs w:val="22"/>
                <w:color w:val="auto"/>
              </w:rPr>
              <w:t>4</w:t>
            </w:r>
          </w:p>
        </w:tc>
      </w:tr>
      <w:tr>
        <w:trPr>
          <w:trHeight w:val="103"/>
        </w:trPr>
        <w:tc>
          <w:tcPr>
            <w:tcW w:w="2400" w:type="dxa"/>
            <w:vAlign w:val="bottom"/>
            <w:tcBorders>
              <w:bottom w:val="single" w:sz="8" w:color="9A9A9A"/>
            </w:tcBorders>
          </w:tcPr>
          <w:p>
            <w:pPr>
              <w:spacing w:after="0"/>
              <w:rPr>
                <w:sz w:val="8"/>
                <w:szCs w:val="8"/>
                <w:color w:val="auto"/>
              </w:rPr>
            </w:pPr>
          </w:p>
        </w:tc>
        <w:tc>
          <w:tcPr>
            <w:tcW w:w="8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53"/>
        </w:trPr>
        <w:tc>
          <w:tcPr>
            <w:tcW w:w="2240" w:type="dxa"/>
            <w:vAlign w:val="bottom"/>
          </w:tcPr>
          <w:p>
            <w:pPr>
              <w:spacing w:after="0"/>
              <w:rPr>
                <w:sz w:val="22"/>
                <w:szCs w:val="22"/>
                <w:color w:val="auto"/>
              </w:rPr>
            </w:pP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9"/>
              </w:rPr>
              <w:t>The Fair Market Value of the Shares, determined as of the effective date when taxes otherwise</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would have been withheld in cash, will be applied as a credit against the withholding taxes.</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w w:val="99"/>
              </w:rPr>
              <w:t>Finally, you will pay to the Company or your Employer any amount of Tax-Related Items that</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w w:val="98"/>
              </w:rPr>
              <w:t>the Company or your Employer may be required to withhold as a result of your participation in</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the Plan or your acquisition of Shares that cannot be satisfied by the means previously</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described. The Company may refuse to deliver the Shares if you fail to comply with your</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obligations in connection with the Tax-Related Items as described in this section, and your</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rights to the Shares will be forfeited if you do not comply with such obligations on or before</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the date that is two and one-half (2-1/2) months following the calendar year in which the</w:t>
            </w:r>
          </w:p>
        </w:tc>
      </w:tr>
      <w:tr>
        <w:trPr>
          <w:trHeight w:val="282"/>
        </w:trPr>
        <w:tc>
          <w:tcPr>
            <w:tcW w:w="2240" w:type="dxa"/>
            <w:vAlign w:val="bottom"/>
          </w:tcPr>
          <w:p>
            <w:pPr>
              <w:spacing w:after="0"/>
              <w:rPr>
                <w:sz w:val="24"/>
                <w:szCs w:val="24"/>
                <w:color w:val="auto"/>
              </w:rPr>
            </w:pP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applicable vesting date for the RSUs occurs.</w:t>
            </w:r>
          </w:p>
        </w:tc>
      </w:tr>
      <w:tr>
        <w:trPr>
          <w:trHeight w:val="470"/>
        </w:trPr>
        <w:tc>
          <w:tcPr>
            <w:tcW w:w="22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Restrictions on</w:t>
            </w: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You agree not to sell any Shares at a time when applicable laws, Company policies or an</w:t>
            </w:r>
          </w:p>
        </w:tc>
      </w:tr>
      <w:tr>
        <w:trPr>
          <w:trHeight w:val="247"/>
        </w:trPr>
        <w:tc>
          <w:tcPr>
            <w:tcW w:w="224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Resale</w:t>
            </w:r>
          </w:p>
        </w:tc>
        <w:tc>
          <w:tcPr>
            <w:tcW w:w="9000" w:type="dxa"/>
            <w:vAlign w:val="bottom"/>
          </w:tcPr>
          <w:p>
            <w:pPr>
              <w:ind w:left="720"/>
              <w:spacing w:after="0" w:line="247" w:lineRule="exact"/>
              <w:rPr>
                <w:sz w:val="20"/>
                <w:szCs w:val="20"/>
                <w:color w:val="auto"/>
              </w:rPr>
            </w:pPr>
            <w:r>
              <w:rPr>
                <w:rFonts w:ascii="Times New Roman" w:cs="Times New Roman" w:eastAsia="Times New Roman" w:hAnsi="Times New Roman"/>
                <w:sz w:val="22"/>
                <w:szCs w:val="22"/>
                <w:color w:val="auto"/>
              </w:rPr>
              <w:t>agreement between the Company and its underwriters prohibit a sale. This restriction will</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apply as long as your Service continues and for such period of time after the termination of</w:t>
            </w:r>
          </w:p>
        </w:tc>
      </w:tr>
      <w:tr>
        <w:trPr>
          <w:trHeight w:val="282"/>
        </w:trPr>
        <w:tc>
          <w:tcPr>
            <w:tcW w:w="2240" w:type="dxa"/>
            <w:vAlign w:val="bottom"/>
          </w:tcPr>
          <w:p>
            <w:pPr>
              <w:spacing w:after="0"/>
              <w:rPr>
                <w:sz w:val="24"/>
                <w:szCs w:val="24"/>
                <w:color w:val="auto"/>
              </w:rPr>
            </w:pP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your Service as the Company may specify.</w:t>
            </w:r>
          </w:p>
        </w:tc>
      </w:tr>
      <w:tr>
        <w:trPr>
          <w:trHeight w:val="470"/>
        </w:trPr>
        <w:tc>
          <w:tcPr>
            <w:tcW w:w="22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No Retention</w:t>
            </w: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Neither this Award nor this Agreement gives you the right to be employed or retained by the</w:t>
            </w:r>
          </w:p>
        </w:tc>
      </w:tr>
      <w:tr>
        <w:trPr>
          <w:trHeight w:val="247"/>
        </w:trPr>
        <w:tc>
          <w:tcPr>
            <w:tcW w:w="224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Rights</w:t>
            </w:r>
          </w:p>
        </w:tc>
        <w:tc>
          <w:tcPr>
            <w:tcW w:w="9000" w:type="dxa"/>
            <w:vAlign w:val="bottom"/>
          </w:tcPr>
          <w:p>
            <w:pPr>
              <w:ind w:left="720"/>
              <w:spacing w:after="0" w:line="247" w:lineRule="exact"/>
              <w:rPr>
                <w:sz w:val="20"/>
                <w:szCs w:val="20"/>
                <w:color w:val="auto"/>
              </w:rPr>
            </w:pPr>
            <w:r>
              <w:rPr>
                <w:rFonts w:ascii="Times New Roman" w:cs="Times New Roman" w:eastAsia="Times New Roman" w:hAnsi="Times New Roman"/>
                <w:sz w:val="22"/>
                <w:szCs w:val="22"/>
                <w:color w:val="auto"/>
                <w:w w:val="98"/>
              </w:rPr>
              <w:t>Company or any Subsidiary or Affiliate of the Company in any capacity. The Company and its</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Subsidiaries and Affiliates reserve the right to terminate your Service at any time, with or</w:t>
            </w:r>
          </w:p>
        </w:tc>
      </w:tr>
      <w:tr>
        <w:trPr>
          <w:trHeight w:val="282"/>
        </w:trPr>
        <w:tc>
          <w:tcPr>
            <w:tcW w:w="2240" w:type="dxa"/>
            <w:vAlign w:val="bottom"/>
          </w:tcPr>
          <w:p>
            <w:pPr>
              <w:spacing w:after="0"/>
              <w:rPr>
                <w:sz w:val="24"/>
                <w:szCs w:val="24"/>
                <w:color w:val="auto"/>
              </w:rPr>
            </w:pP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without cause.</w:t>
            </w:r>
          </w:p>
        </w:tc>
      </w:tr>
      <w:tr>
        <w:trPr>
          <w:trHeight w:val="474"/>
        </w:trPr>
        <w:tc>
          <w:tcPr>
            <w:tcW w:w="22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Adjustments</w:t>
            </w: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The number of RSUs covered by this Award will be subject to adjustment in the event of a</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stock split, a stock dividend or a similar change in Shares, and in other circumstances, as set</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forth in the Plan. The forfeiture provisions and restrictions described above will apply to all</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new, substitute or additional restricted stock units or securities to which you are entitled by</w:t>
            </w:r>
          </w:p>
        </w:tc>
      </w:tr>
      <w:tr>
        <w:trPr>
          <w:trHeight w:val="282"/>
        </w:trPr>
        <w:tc>
          <w:tcPr>
            <w:tcW w:w="2240" w:type="dxa"/>
            <w:vAlign w:val="bottom"/>
          </w:tcPr>
          <w:p>
            <w:pPr>
              <w:spacing w:after="0"/>
              <w:rPr>
                <w:sz w:val="24"/>
                <w:szCs w:val="24"/>
                <w:color w:val="auto"/>
              </w:rPr>
            </w:pP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reason of this Award.</w:t>
            </w:r>
          </w:p>
        </w:tc>
      </w:tr>
      <w:tr>
        <w:trPr>
          <w:trHeight w:val="470"/>
        </w:trPr>
        <w:tc>
          <w:tcPr>
            <w:tcW w:w="22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Successors and</w:t>
            </w: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9"/>
              </w:rPr>
              <w:t>Except as otherwise provided in the Plan or this Agreement, every term of this Agreement will</w:t>
            </w:r>
          </w:p>
        </w:tc>
      </w:tr>
      <w:tr>
        <w:trPr>
          <w:trHeight w:val="247"/>
        </w:trPr>
        <w:tc>
          <w:tcPr>
            <w:tcW w:w="224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Assigns</w:t>
            </w:r>
          </w:p>
        </w:tc>
        <w:tc>
          <w:tcPr>
            <w:tcW w:w="9000" w:type="dxa"/>
            <w:vAlign w:val="bottom"/>
          </w:tcPr>
          <w:p>
            <w:pPr>
              <w:ind w:left="720"/>
              <w:spacing w:after="0" w:line="247" w:lineRule="exact"/>
              <w:rPr>
                <w:sz w:val="20"/>
                <w:szCs w:val="20"/>
                <w:color w:val="auto"/>
              </w:rPr>
            </w:pPr>
            <w:r>
              <w:rPr>
                <w:rFonts w:ascii="Times New Roman" w:cs="Times New Roman" w:eastAsia="Times New Roman" w:hAnsi="Times New Roman"/>
                <w:sz w:val="22"/>
                <w:szCs w:val="22"/>
                <w:color w:val="auto"/>
              </w:rPr>
              <w:t>be binding upon and inure to the benefit of the parties hereto and their respective heirs,</w:t>
            </w:r>
          </w:p>
        </w:tc>
      </w:tr>
      <w:tr>
        <w:trPr>
          <w:trHeight w:val="282"/>
        </w:trPr>
        <w:tc>
          <w:tcPr>
            <w:tcW w:w="2240" w:type="dxa"/>
            <w:vAlign w:val="bottom"/>
          </w:tcPr>
          <w:p>
            <w:pPr>
              <w:spacing w:after="0"/>
              <w:rPr>
                <w:sz w:val="24"/>
                <w:szCs w:val="24"/>
                <w:color w:val="auto"/>
              </w:rPr>
            </w:pP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legatees, legal representatives, successors, transferees and assigns.</w:t>
            </w:r>
          </w:p>
        </w:tc>
      </w:tr>
      <w:tr>
        <w:trPr>
          <w:trHeight w:val="474"/>
        </w:trPr>
        <w:tc>
          <w:tcPr>
            <w:tcW w:w="22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Notice</w:t>
            </w: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Any notice required or permitted under this Agreement will be given in writing and will be</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deemed effectively given upon the earliest of personal delivery, receipt or the third (3rd) full</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w w:val="99"/>
              </w:rPr>
              <w:t>day following mailing with postage and fees prepaid, addressed to the other party hereto at the</w:t>
            </w:r>
          </w:p>
        </w:tc>
      </w:tr>
      <w:tr>
        <w:trPr>
          <w:trHeight w:val="243"/>
        </w:trPr>
        <w:tc>
          <w:tcPr>
            <w:tcW w:w="2240" w:type="dxa"/>
            <w:vAlign w:val="bottom"/>
          </w:tcPr>
          <w:p>
            <w:pPr>
              <w:spacing w:after="0"/>
              <w:rPr>
                <w:sz w:val="21"/>
                <w:szCs w:val="21"/>
                <w:color w:val="auto"/>
              </w:rPr>
            </w:pPr>
          </w:p>
        </w:tc>
        <w:tc>
          <w:tcPr>
            <w:tcW w:w="90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address last known in the Company’s records or at such other address as such party may</w:t>
            </w:r>
          </w:p>
        </w:tc>
      </w:tr>
      <w:tr>
        <w:trPr>
          <w:trHeight w:val="282"/>
        </w:trPr>
        <w:tc>
          <w:tcPr>
            <w:tcW w:w="2240" w:type="dxa"/>
            <w:vAlign w:val="bottom"/>
          </w:tcPr>
          <w:p>
            <w:pPr>
              <w:spacing w:after="0"/>
              <w:rPr>
                <w:sz w:val="24"/>
                <w:szCs w:val="24"/>
                <w:color w:val="auto"/>
              </w:rPr>
            </w:pPr>
          </w:p>
        </w:tc>
        <w:tc>
          <w:tcPr>
            <w:tcW w:w="90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designate by ten (10) days’ advance written notice to the other party hereto.</w:t>
            </w:r>
          </w:p>
        </w:tc>
      </w:tr>
      <w:tr>
        <w:trPr>
          <w:trHeight w:val="621"/>
        </w:trPr>
        <w:tc>
          <w:tcPr>
            <w:tcW w:w="2240" w:type="dxa"/>
            <w:vAlign w:val="bottom"/>
          </w:tcPr>
          <w:p>
            <w:pPr>
              <w:spacing w:after="0"/>
              <w:rPr>
                <w:sz w:val="24"/>
                <w:szCs w:val="24"/>
                <w:color w:val="auto"/>
              </w:rPr>
            </w:pPr>
          </w:p>
        </w:tc>
        <w:tc>
          <w:tcPr>
            <w:tcW w:w="9000" w:type="dxa"/>
            <w:vAlign w:val="bottom"/>
          </w:tcPr>
          <w:p>
            <w:pPr>
              <w:ind w:left="3360"/>
              <w:spacing w:after="0"/>
              <w:rPr>
                <w:sz w:val="20"/>
                <w:szCs w:val="20"/>
                <w:color w:val="auto"/>
              </w:rPr>
            </w:pPr>
            <w:r>
              <w:rPr>
                <w:rFonts w:ascii="Times New Roman" w:cs="Times New Roman" w:eastAsia="Times New Roman" w:hAnsi="Times New Roman"/>
                <w:sz w:val="22"/>
                <w:szCs w:val="22"/>
                <w:color w:val="auto"/>
              </w:rPr>
              <w:t>5</w:t>
            </w:r>
          </w:p>
        </w:tc>
      </w:tr>
      <w:tr>
        <w:trPr>
          <w:trHeight w:val="103"/>
        </w:trPr>
        <w:tc>
          <w:tcPr>
            <w:tcW w:w="2240" w:type="dxa"/>
            <w:vAlign w:val="bottom"/>
            <w:tcBorders>
              <w:bottom w:val="single" w:sz="8" w:color="9A9A9A"/>
            </w:tcBorders>
          </w:tcPr>
          <w:p>
            <w:pPr>
              <w:spacing w:after="0"/>
              <w:rPr>
                <w:sz w:val="8"/>
                <w:szCs w:val="8"/>
                <w:color w:val="auto"/>
              </w:rPr>
            </w:pPr>
          </w:p>
        </w:tc>
        <w:tc>
          <w:tcPr>
            <w:tcW w:w="9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53"/>
        </w:trPr>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Section 409A of the</w:t>
            </w: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To the extent this Agreement is subject to, and not exempt from, Section 409A of the Code, this</w:t>
            </w:r>
          </w:p>
        </w:tc>
      </w:tr>
      <w:tr>
        <w:trPr>
          <w:trHeight w:val="247"/>
        </w:trPr>
        <w:tc>
          <w:tcPr>
            <w:tcW w:w="242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Code</w:t>
            </w:r>
          </w:p>
        </w:tc>
        <w:tc>
          <w:tcPr>
            <w:tcW w:w="8820" w:type="dxa"/>
            <w:vAlign w:val="bottom"/>
          </w:tcPr>
          <w:p>
            <w:pPr>
              <w:ind w:left="540"/>
              <w:spacing w:after="0" w:line="247" w:lineRule="exact"/>
              <w:rPr>
                <w:sz w:val="20"/>
                <w:szCs w:val="20"/>
                <w:color w:val="auto"/>
              </w:rPr>
            </w:pPr>
            <w:r>
              <w:rPr>
                <w:rFonts w:ascii="Times New Roman" w:cs="Times New Roman" w:eastAsia="Times New Roman" w:hAnsi="Times New Roman"/>
                <w:sz w:val="22"/>
                <w:szCs w:val="22"/>
                <w:color w:val="auto"/>
                <w:w w:val="98"/>
              </w:rPr>
              <w:t>Agreement is intended to comply with Section 409A, and its provisions will be interpreted in a</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w w:val="99"/>
              </w:rPr>
              <w:t>manner consistent with such intent. You acknowledge and agree that changes may be made to</w:t>
            </w:r>
          </w:p>
        </w:tc>
      </w:tr>
      <w:tr>
        <w:trPr>
          <w:trHeight w:val="282"/>
        </w:trPr>
        <w:tc>
          <w:tcPr>
            <w:tcW w:w="2420" w:type="dxa"/>
            <w:vAlign w:val="bottom"/>
          </w:tcPr>
          <w:p>
            <w:pPr>
              <w:spacing w:after="0"/>
              <w:rPr>
                <w:sz w:val="24"/>
                <w:szCs w:val="24"/>
                <w:color w:val="auto"/>
              </w:rPr>
            </w:pP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this Agreement to avoid adverse tax consequences to you under Section 409A.</w:t>
            </w:r>
          </w:p>
        </w:tc>
      </w:tr>
      <w:tr>
        <w:trPr>
          <w:trHeight w:val="470"/>
        </w:trPr>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Applicable Law</w:t>
            </w: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9"/>
              </w:rPr>
              <w:t>This Agreement will be interpreted and enforced under the laws of the State of Delaware as to</w:t>
            </w:r>
          </w:p>
        </w:tc>
      </w:tr>
      <w:tr>
        <w:trPr>
          <w:trHeight w:val="243"/>
        </w:trPr>
        <w:tc>
          <w:tcPr>
            <w:tcW w:w="24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and Choice of</w:t>
            </w: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matters within the scope thereof, and as to all other matters, the internal laws of the State of</w:t>
            </w:r>
          </w:p>
        </w:tc>
      </w:tr>
      <w:tr>
        <w:trPr>
          <w:trHeight w:val="247"/>
        </w:trPr>
        <w:tc>
          <w:tcPr>
            <w:tcW w:w="242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Venue</w:t>
            </w:r>
          </w:p>
        </w:tc>
        <w:tc>
          <w:tcPr>
            <w:tcW w:w="8820" w:type="dxa"/>
            <w:vAlign w:val="bottom"/>
          </w:tcPr>
          <w:p>
            <w:pPr>
              <w:ind w:left="540"/>
              <w:spacing w:after="0" w:line="247" w:lineRule="exact"/>
              <w:rPr>
                <w:sz w:val="20"/>
                <w:szCs w:val="20"/>
                <w:color w:val="auto"/>
              </w:rPr>
            </w:pPr>
            <w:r>
              <w:rPr>
                <w:rFonts w:ascii="Times New Roman" w:cs="Times New Roman" w:eastAsia="Times New Roman" w:hAnsi="Times New Roman"/>
                <w:sz w:val="22"/>
                <w:szCs w:val="22"/>
                <w:color w:val="auto"/>
                <w:w w:val="98"/>
              </w:rPr>
              <w:t>California, without regard to the laws of any other jurisdiction that might be applied because of</w:t>
            </w:r>
          </w:p>
        </w:tc>
      </w:tr>
      <w:tr>
        <w:trPr>
          <w:trHeight w:val="282"/>
        </w:trPr>
        <w:tc>
          <w:tcPr>
            <w:tcW w:w="2420" w:type="dxa"/>
            <w:vAlign w:val="bottom"/>
          </w:tcPr>
          <w:p>
            <w:pPr>
              <w:spacing w:after="0"/>
              <w:rPr>
                <w:sz w:val="24"/>
                <w:szCs w:val="24"/>
                <w:color w:val="auto"/>
              </w:rPr>
            </w:pP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the conflicts of laws principles of any state.</w:t>
            </w:r>
          </w:p>
        </w:tc>
      </w:tr>
      <w:tr>
        <w:trPr>
          <w:trHeight w:val="447"/>
        </w:trPr>
        <w:tc>
          <w:tcPr>
            <w:tcW w:w="2420" w:type="dxa"/>
            <w:vAlign w:val="bottom"/>
          </w:tcPr>
          <w:p>
            <w:pPr>
              <w:spacing w:after="0"/>
              <w:rPr>
                <w:sz w:val="24"/>
                <w:szCs w:val="24"/>
                <w:color w:val="auto"/>
              </w:rPr>
            </w:pP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For purposes of litigating any dispute that arises directly or indirectly from the relationship of</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the parties evidenced by this Award or this Agreement, the parties hereby submit to and</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w w:val="98"/>
              </w:rPr>
              <w:t>consent to the exclusive jurisdiction of the State of California and agree that such litigation will</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w w:val="99"/>
              </w:rPr>
              <w:t>be conducted only in the courts of Santa Clara County, California, or the federal courts for the</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United States for the Northern District of California, and no other courts, where this grant is</w:t>
            </w:r>
          </w:p>
        </w:tc>
      </w:tr>
      <w:tr>
        <w:trPr>
          <w:trHeight w:val="282"/>
        </w:trPr>
        <w:tc>
          <w:tcPr>
            <w:tcW w:w="2420" w:type="dxa"/>
            <w:vAlign w:val="bottom"/>
          </w:tcPr>
          <w:p>
            <w:pPr>
              <w:spacing w:after="0"/>
              <w:rPr>
                <w:sz w:val="24"/>
                <w:szCs w:val="24"/>
                <w:color w:val="auto"/>
              </w:rPr>
            </w:pP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made and/or to be performed.</w:t>
            </w:r>
          </w:p>
        </w:tc>
      </w:tr>
      <w:tr>
        <w:trPr>
          <w:trHeight w:val="474"/>
        </w:trPr>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Severability</w:t>
            </w: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The provisions of this Agreement are severable and if any one or more provisions is</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determined to be illegal or otherwise unenforceable, in whole or in part, the remaining</w:t>
            </w:r>
          </w:p>
        </w:tc>
      </w:tr>
      <w:tr>
        <w:trPr>
          <w:trHeight w:val="282"/>
        </w:trPr>
        <w:tc>
          <w:tcPr>
            <w:tcW w:w="2420" w:type="dxa"/>
            <w:vAlign w:val="bottom"/>
          </w:tcPr>
          <w:p>
            <w:pPr>
              <w:spacing w:after="0"/>
              <w:rPr>
                <w:sz w:val="24"/>
                <w:szCs w:val="24"/>
                <w:color w:val="auto"/>
              </w:rPr>
            </w:pP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provisions shall nevertheless be binding and enforceable.</w:t>
            </w:r>
          </w:p>
        </w:tc>
      </w:tr>
      <w:tr>
        <w:trPr>
          <w:trHeight w:val="474"/>
        </w:trPr>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Appendices</w:t>
            </w: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Notwithstanding any provisions in this Agreement, the Award shall be subject to the data</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privacy information and consent in Appendix A if you reside outside the United States. In</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addition, the Award shall be subject to any special terms and conditions for your country set</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w w:val="98"/>
              </w:rPr>
              <w:t>forth in Appendix B. Moreover, if you relocate to one of the countries included in Appendix B,</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w w:val="99"/>
              </w:rPr>
              <w:t>the special terms and conditions for such country will apply to you, to the extent the Company</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w w:val="99"/>
              </w:rPr>
              <w:t>determines that the application of such terms and conditions is necessary or advisable for legal</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or administrative reasons.</w:t>
            </w:r>
          </w:p>
        </w:tc>
      </w:tr>
      <w:tr>
        <w:trPr>
          <w:trHeight w:val="282"/>
        </w:trPr>
        <w:tc>
          <w:tcPr>
            <w:tcW w:w="2420" w:type="dxa"/>
            <w:vAlign w:val="bottom"/>
          </w:tcPr>
          <w:p>
            <w:pPr>
              <w:spacing w:after="0"/>
              <w:rPr>
                <w:sz w:val="24"/>
                <w:szCs w:val="24"/>
                <w:color w:val="auto"/>
              </w:rPr>
            </w:pP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Appendices A and B constitute part of this Agreement.</w:t>
            </w:r>
          </w:p>
        </w:tc>
      </w:tr>
      <w:tr>
        <w:trPr>
          <w:trHeight w:val="474"/>
        </w:trPr>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Waiver</w:t>
            </w: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9"/>
              </w:rPr>
              <w:t>You acknowledge that a waiver by the Company of breach of any provision of this Agreement</w:t>
            </w:r>
          </w:p>
        </w:tc>
      </w:tr>
      <w:tr>
        <w:trPr>
          <w:trHeight w:val="243"/>
        </w:trPr>
        <w:tc>
          <w:tcPr>
            <w:tcW w:w="2420" w:type="dxa"/>
            <w:vAlign w:val="bottom"/>
          </w:tcPr>
          <w:p>
            <w:pPr>
              <w:spacing w:after="0"/>
              <w:rPr>
                <w:sz w:val="21"/>
                <w:szCs w:val="21"/>
                <w:color w:val="auto"/>
              </w:rPr>
            </w:pPr>
          </w:p>
        </w:tc>
        <w:tc>
          <w:tcPr>
            <w:tcW w:w="88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shall not operate or be construed as a waiver of any other provision of this Agreement, or of</w:t>
            </w:r>
          </w:p>
        </w:tc>
      </w:tr>
      <w:tr>
        <w:trPr>
          <w:trHeight w:val="282"/>
        </w:trPr>
        <w:tc>
          <w:tcPr>
            <w:tcW w:w="2420" w:type="dxa"/>
            <w:vAlign w:val="bottom"/>
          </w:tcPr>
          <w:p>
            <w:pPr>
              <w:spacing w:after="0"/>
              <w:rPr>
                <w:sz w:val="24"/>
                <w:szCs w:val="24"/>
                <w:color w:val="auto"/>
              </w:rPr>
            </w:pPr>
          </w:p>
        </w:tc>
        <w:tc>
          <w:tcPr>
            <w:tcW w:w="8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any subsequent breach by you or any other participant.</w:t>
            </w:r>
          </w:p>
        </w:tc>
      </w:tr>
      <w:tr>
        <w:trPr>
          <w:trHeight w:val="621"/>
        </w:trPr>
        <w:tc>
          <w:tcPr>
            <w:tcW w:w="2420" w:type="dxa"/>
            <w:vAlign w:val="bottom"/>
          </w:tcPr>
          <w:p>
            <w:pPr>
              <w:spacing w:after="0"/>
              <w:rPr>
                <w:sz w:val="24"/>
                <w:szCs w:val="24"/>
                <w:color w:val="auto"/>
              </w:rPr>
            </w:pPr>
          </w:p>
        </w:tc>
        <w:tc>
          <w:tcPr>
            <w:tcW w:w="8820" w:type="dxa"/>
            <w:vAlign w:val="bottom"/>
          </w:tcPr>
          <w:p>
            <w:pPr>
              <w:ind w:left="3180"/>
              <w:spacing w:after="0"/>
              <w:rPr>
                <w:sz w:val="20"/>
                <w:szCs w:val="20"/>
                <w:color w:val="auto"/>
              </w:rPr>
            </w:pPr>
            <w:r>
              <w:rPr>
                <w:rFonts w:ascii="Times New Roman" w:cs="Times New Roman" w:eastAsia="Times New Roman" w:hAnsi="Times New Roman"/>
                <w:sz w:val="22"/>
                <w:szCs w:val="22"/>
                <w:color w:val="auto"/>
              </w:rPr>
              <w:t>6</w:t>
            </w:r>
          </w:p>
        </w:tc>
      </w:tr>
      <w:tr>
        <w:trPr>
          <w:trHeight w:val="103"/>
        </w:trPr>
        <w:tc>
          <w:tcPr>
            <w:tcW w:w="2420" w:type="dxa"/>
            <w:vAlign w:val="bottom"/>
            <w:tcBorders>
              <w:bottom w:val="single" w:sz="8" w:color="9A9A9A"/>
            </w:tcBorders>
          </w:tcPr>
          <w:p>
            <w:pPr>
              <w:spacing w:after="0"/>
              <w:rPr>
                <w:sz w:val="8"/>
                <w:szCs w:val="8"/>
                <w:color w:val="auto"/>
              </w:rPr>
            </w:pPr>
          </w:p>
        </w:tc>
        <w:tc>
          <w:tcPr>
            <w:tcW w:w="8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23" w:name="page124"/>
    <w:bookmarkEnd w:id="123"/>
    <w:p>
      <w:pPr>
        <w:ind w:right="520"/>
        <w:spacing w:after="0" w:line="286" w:lineRule="auto"/>
        <w:rPr>
          <w:sz w:val="20"/>
          <w:szCs w:val="20"/>
          <w:color w:val="auto"/>
        </w:rPr>
      </w:pPr>
      <w:r>
        <w:rPr>
          <w:rFonts w:ascii="Times New Roman" w:cs="Times New Roman" w:eastAsia="Times New Roman" w:hAnsi="Times New Roman"/>
          <w:sz w:val="21"/>
          <w:szCs w:val="21"/>
          <w:b w:val="1"/>
          <w:bCs w:val="1"/>
          <w:color w:val="auto"/>
        </w:rPr>
        <w:t>No Advice Regarding Grant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Times New Roman" w:cs="Times New Roman" w:eastAsia="Times New Roman" w:hAnsi="Times New Roman"/>
          <w:sz w:val="22"/>
          <w:szCs w:val="22"/>
          <w:color w:val="auto"/>
        </w:rPr>
        <w:t>The Company is not providing any tax, legal or financial advice, nor is the Company making any recommendations regarding your participation in the Plan, or your acquisition or sale of the Shares underlying the RSUs. You should consult with your own personal tax, legal and financial advisors regarding your participation in the Plan before taking any action related to the Plan.</w:t>
      </w:r>
    </w:p>
    <w:p>
      <w:pPr>
        <w:spacing w:after="0" w:line="200" w:lineRule="exact"/>
        <w:rPr>
          <w:sz w:val="20"/>
          <w:szCs w:val="20"/>
          <w:color w:val="auto"/>
        </w:rPr>
      </w:pPr>
    </w:p>
    <w:p>
      <w:pPr>
        <w:sectPr>
          <w:pgSz w:w="11900" w:h="16838" w:orient="portrait"/>
          <w:cols w:equalWidth="0" w:num="2">
            <w:col w:w="2120" w:space="720"/>
            <w:col w:w="8260"/>
          </w:cols>
          <w:pgMar w:left="440" w:top="324" w:right="35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Imposition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w:t>
      </w:r>
    </w:p>
    <w:p>
      <w:pPr>
        <w:spacing w:after="0"/>
        <w:rPr>
          <w:sz w:val="20"/>
          <w:szCs w:val="20"/>
          <w:color w:val="auto"/>
        </w:rPr>
      </w:pPr>
      <w:r>
        <w:rPr>
          <w:rFonts w:ascii="Times New Roman" w:cs="Times New Roman" w:eastAsia="Times New Roman" w:hAnsi="Times New Roman"/>
          <w:sz w:val="21"/>
          <w:szCs w:val="21"/>
          <w:b w:val="1"/>
          <w:bCs w:val="1"/>
          <w:color w:val="auto"/>
        </w:rPr>
        <w:t>Requirements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 Company reserves the right to impose other requirements on your participation in the Plan, on the RSUs and on any Shares acquired upon vesting of the RSUs,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ectPr>
          <w:pgSz w:w="11900" w:h="16838" w:orient="portrait"/>
          <w:cols w:equalWidth="0" w:num="2">
            <w:col w:w="2120" w:space="720"/>
            <w:col w:w="8260"/>
          </w:cols>
          <w:pgMar w:left="440" w:top="324" w:right="359" w:bottom="1440" w:gutter="0" w:footer="0" w:header="0"/>
          <w:type w:val="continuous"/>
        </w:sectPr>
      </w:pPr>
    </w:p>
    <w:p>
      <w:pPr>
        <w:spacing w:after="0" w:line="2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21"/>
          <w:szCs w:val="21"/>
          <w:b w:val="1"/>
          <w:bCs w:val="1"/>
          <w:color w:val="auto"/>
        </w:rPr>
        <w:t>Electronic Delivery and Acceptance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0" w:lineRule="exact"/>
        <w:rPr>
          <w:sz w:val="20"/>
          <w:szCs w:val="20"/>
          <w:color w:val="auto"/>
        </w:rPr>
      </w:pPr>
    </w:p>
    <w:p>
      <w:pPr>
        <w:sectPr>
          <w:pgSz w:w="11900" w:h="16838" w:orient="portrait"/>
          <w:cols w:equalWidth="0" w:num="2">
            <w:col w:w="2120" w:space="720"/>
            <w:col w:w="8260"/>
          </w:cols>
          <w:pgMar w:left="440" w:top="3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840" w:right="420"/>
        <w:spacing w:after="0" w:line="246" w:lineRule="auto"/>
        <w:rPr>
          <w:sz w:val="20"/>
          <w:szCs w:val="20"/>
          <w:color w:val="auto"/>
        </w:rPr>
      </w:pPr>
      <w:r>
        <w:rPr>
          <w:rFonts w:ascii="Times New Roman" w:cs="Times New Roman" w:eastAsia="Times New Roman" w:hAnsi="Times New Roman"/>
          <w:sz w:val="22"/>
          <w:szCs w:val="22"/>
          <w:b w:val="1"/>
          <w:bCs w:val="1"/>
          <w:color w:val="auto"/>
        </w:rPr>
        <w:t>BY SIGNING THE ATTACHED NOTICE YOU AGREE TO ALL OF THE TERMS AND CONDITIONS DESCRIBED IN THIS AGREEMENT, INCLUDING THE APPENDICES, AND IN THE PLAN</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66675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40" w:top="324" w:right="359" w:bottom="1440" w:gutter="0" w:footer="0" w:header="0"/>
          <w:type w:val="continuous"/>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88900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Subsidiaries of SiTime Corporation</w:t>
            </w:r>
          </w:p>
        </w:tc>
        <w:tc>
          <w:tcPr>
            <w:tcW w:w="1800" w:type="dxa"/>
            <w:vAlign w:val="bottom"/>
          </w:tcPr>
          <w:p>
            <w:pPr>
              <w:spacing w:after="0"/>
              <w:rPr>
                <w:sz w:val="20"/>
                <w:szCs w:val="20"/>
                <w:color w:val="auto"/>
              </w:rPr>
            </w:pPr>
          </w:p>
        </w:tc>
      </w:tr>
      <w:tr>
        <w:trPr>
          <w:trHeight w:val="904"/>
        </w:trPr>
        <w:tc>
          <w:tcPr>
            <w:tcW w:w="1820" w:type="dxa"/>
            <w:vAlign w:val="bottom"/>
          </w:tcPr>
          <w:p>
            <w:pPr>
              <w:spacing w:after="0"/>
              <w:rPr>
                <w:sz w:val="24"/>
                <w:szCs w:val="24"/>
                <w:color w:val="auto"/>
              </w:rPr>
            </w:pPr>
          </w:p>
        </w:tc>
        <w:tc>
          <w:tcPr>
            <w:tcW w:w="23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Subsidiary</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Jurisdiction</w:t>
            </w:r>
          </w:p>
        </w:tc>
        <w:tc>
          <w:tcPr>
            <w:tcW w:w="1800" w:type="dxa"/>
            <w:vAlign w:val="bottom"/>
          </w:tcPr>
          <w:p>
            <w:pPr>
              <w:spacing w:after="0"/>
              <w:rPr>
                <w:sz w:val="24"/>
                <w:szCs w:val="24"/>
                <w:color w:val="auto"/>
              </w:rPr>
            </w:pPr>
          </w:p>
        </w:tc>
      </w:tr>
      <w:tr>
        <w:trPr>
          <w:trHeight w:val="41"/>
        </w:trPr>
        <w:tc>
          <w:tcPr>
            <w:tcW w:w="1820" w:type="dxa"/>
            <w:vAlign w:val="bottom"/>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r>
      <w:tr>
        <w:trPr>
          <w:trHeight w:val="228"/>
        </w:trPr>
        <w:tc>
          <w:tcPr>
            <w:tcW w:w="18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SiTime Ukraine, LLC</w:t>
            </w: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Ukraine</w:t>
            </w:r>
          </w:p>
        </w:tc>
        <w:tc>
          <w:tcPr>
            <w:tcW w:w="1800" w:type="dxa"/>
            <w:vAlign w:val="bottom"/>
          </w:tcPr>
          <w:p>
            <w:pPr>
              <w:spacing w:after="0"/>
              <w:rPr>
                <w:sz w:val="19"/>
                <w:szCs w:val="19"/>
                <w:color w:val="auto"/>
              </w:rPr>
            </w:pPr>
          </w:p>
        </w:tc>
      </w:tr>
      <w:tr>
        <w:trPr>
          <w:trHeight w:val="454"/>
        </w:trPr>
        <w:tc>
          <w:tcPr>
            <w:tcW w:w="182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SiTime Netherlands, B.V.</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1800" w:type="dxa"/>
            <w:vAlign w:val="bottom"/>
          </w:tcPr>
          <w:p>
            <w:pPr>
              <w:spacing w:after="0"/>
              <w:rPr>
                <w:sz w:val="24"/>
                <w:szCs w:val="24"/>
                <w:color w:val="auto"/>
              </w:rPr>
            </w:pPr>
          </w:p>
        </w:tc>
      </w:tr>
      <w:tr>
        <w:trPr>
          <w:trHeight w:val="441"/>
        </w:trPr>
        <w:tc>
          <w:tcPr>
            <w:tcW w:w="182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SiTime Japan GK</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c>
          <w:tcPr>
            <w:tcW w:w="1800" w:type="dxa"/>
            <w:vAlign w:val="bottom"/>
          </w:tcPr>
          <w:p>
            <w:pPr>
              <w:spacing w:after="0"/>
              <w:rPr>
                <w:sz w:val="24"/>
                <w:szCs w:val="24"/>
                <w:color w:val="auto"/>
              </w:rPr>
            </w:pPr>
          </w:p>
        </w:tc>
      </w:tr>
      <w:tr>
        <w:trPr>
          <w:trHeight w:val="234"/>
        </w:trPr>
        <w:tc>
          <w:tcPr>
            <w:tcW w:w="18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SiTime France</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1800" w:type="dxa"/>
            <w:vAlign w:val="bottom"/>
          </w:tcPr>
          <w:p>
            <w:pPr>
              <w:spacing w:after="0"/>
              <w:rPr>
                <w:sz w:val="20"/>
                <w:szCs w:val="20"/>
                <w:color w:val="auto"/>
              </w:rPr>
            </w:pPr>
          </w:p>
        </w:tc>
      </w:tr>
      <w:tr>
        <w:trPr>
          <w:trHeight w:val="243"/>
        </w:trPr>
        <w:tc>
          <w:tcPr>
            <w:tcW w:w="182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SiTime Malaysia SDN. BHD.</w:t>
            </w: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SiTime Taiwan Limited</w:t>
            </w: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SiTime Finland Oy</w:t>
            </w: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Finland</w:t>
            </w:r>
          </w:p>
        </w:tc>
        <w:tc>
          <w:tcPr>
            <w:tcW w:w="1800" w:type="dxa"/>
            <w:vAlign w:val="bottom"/>
          </w:tcPr>
          <w:p>
            <w:pPr>
              <w:spacing w:after="0"/>
              <w:rPr>
                <w:sz w:val="21"/>
                <w:szCs w:val="21"/>
                <w:color w:val="auto"/>
              </w:rPr>
            </w:pPr>
          </w:p>
        </w:tc>
      </w:tr>
      <w:tr>
        <w:trPr>
          <w:trHeight w:val="243"/>
        </w:trPr>
        <w:tc>
          <w:tcPr>
            <w:tcW w:w="182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SiTime Korea Ltd.</w:t>
            </w: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Korea</w:t>
            </w:r>
          </w:p>
        </w:tc>
        <w:tc>
          <w:tcPr>
            <w:tcW w:w="1800" w:type="dxa"/>
            <w:vAlign w:val="bottom"/>
          </w:tcPr>
          <w:p>
            <w:pPr>
              <w:spacing w:after="0"/>
              <w:rPr>
                <w:sz w:val="21"/>
                <w:szCs w:val="21"/>
                <w:color w:val="auto"/>
              </w:rPr>
            </w:pPr>
          </w:p>
        </w:tc>
      </w:tr>
      <w:tr>
        <w:trPr>
          <w:trHeight w:val="561"/>
        </w:trPr>
        <w:tc>
          <w:tcPr>
            <w:tcW w:w="18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333-253139) and Form S-8 (Nos. 333-235255, 333-236847, 333-253140, 333-262490, and 333-263039) of SiTime Corporation, Inc. of our reports dated February 27, 2023, relating to the consolidated financial statements and schedule, and the effectiveness of SiTime Corporation’s internal control over financial reporting, which appear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Rajesh Vashist, certify that:</w:t>
      </w:r>
    </w:p>
    <w:p>
      <w:pPr>
        <w:spacing w:after="0" w:line="117"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SiTime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8060" w:val="left"/>
        </w:tabs>
        <w:rPr>
          <w:sz w:val="20"/>
          <w:szCs w:val="20"/>
          <w:color w:val="auto"/>
        </w:rPr>
      </w:pPr>
      <w:r>
        <w:rPr>
          <w:rFonts w:ascii="Times New Roman" w:cs="Times New Roman" w:eastAsia="Times New Roman" w:hAnsi="Times New Roman"/>
          <w:sz w:val="18"/>
          <w:szCs w:val="18"/>
          <w:color w:val="auto"/>
        </w:rPr>
        <w:t>Date: February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D. Chadwick, certify that:</w:t>
      </w:r>
    </w:p>
    <w:p>
      <w:pPr>
        <w:spacing w:after="0" w:line="117"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SiTime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740" w:val="left"/>
          <w:tab w:leader="none" w:pos="7860" w:val="left"/>
        </w:tabs>
        <w:rPr>
          <w:sz w:val="20"/>
          <w:szCs w:val="20"/>
          <w:color w:val="auto"/>
        </w:rPr>
      </w:pPr>
      <w:r>
        <w:rPr>
          <w:rFonts w:ascii="Times New Roman" w:cs="Times New Roman" w:eastAsia="Times New Roman" w:hAnsi="Times New Roman"/>
          <w:sz w:val="18"/>
          <w:szCs w:val="18"/>
          <w:color w:val="auto"/>
        </w:rPr>
        <w:t>Date: February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Arthur D. Chadwick</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SiTime Corporation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560" w:val="left"/>
          <w:tab w:leader="none" w:pos="7980" w:val="left"/>
        </w:tabs>
        <w:rPr>
          <w:sz w:val="20"/>
          <w:szCs w:val="20"/>
          <w:color w:val="auto"/>
        </w:rPr>
      </w:pPr>
      <w:r>
        <w:rPr>
          <w:rFonts w:ascii="Times New Roman" w:cs="Times New Roman" w:eastAsia="Times New Roman" w:hAnsi="Times New Roman"/>
          <w:sz w:val="18"/>
          <w:szCs w:val="18"/>
          <w:color w:val="auto"/>
        </w:rPr>
        <w:t>Date: February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SiTime Corporation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560" w:val="left"/>
          <w:tab w:leader="none" w:pos="7780" w:val="left"/>
        </w:tabs>
        <w:rPr>
          <w:sz w:val="20"/>
          <w:szCs w:val="20"/>
          <w:color w:val="auto"/>
        </w:rPr>
      </w:pPr>
      <w:r>
        <w:rPr>
          <w:rFonts w:ascii="Times New Roman" w:cs="Times New Roman" w:eastAsia="Times New Roman" w:hAnsi="Times New Roman"/>
          <w:sz w:val="18"/>
          <w:szCs w:val="18"/>
          <w:color w:val="auto"/>
        </w:rPr>
        <w:t>Date: February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Arthur D. Chadwick</w:t>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lvl w:ilvl="1">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2"/>
    </w:lvl>
  </w:abstractNum>
  <w:abstractNum w:abstractNumId="28">
    <w:nsid w:val="6DE91B18"/>
    <w:multiLevelType w:val="hybridMultilevel"/>
    <w:lvl w:ilvl="0">
      <w:lvlJc w:val="left"/>
      <w:lvlText w:val="%1."/>
      <w:numFmt w:val="decimal"/>
      <w:start w:val="4"/>
    </w:lvl>
  </w:abstractNum>
  <w:abstractNum w:abstractNumId="29">
    <w:nsid w:val="38437FDB"/>
    <w:multiLevelType w:val="hybridMultilevel"/>
    <w:lvl w:ilvl="0">
      <w:lvlJc w:val="left"/>
      <w:lvlText w:val="%1."/>
      <w:numFmt w:val="decimal"/>
      <w:start w:val="6"/>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2"/>
    </w:lvl>
  </w:abstractNum>
  <w:abstractNum w:abstractNumId="32">
    <w:nsid w:val="684A481A"/>
    <w:multiLevelType w:val="hybridMultilevel"/>
    <w:lvl w:ilvl="0">
      <w:lvlJc w:val="left"/>
      <w:lvlText w:val="%1."/>
      <w:numFmt w:val="decimal"/>
      <w:start w:val="3"/>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
    <w:nsid w:val="3DC240FB"/>
    <w:multiLevelType w:val="hybridMultilevel"/>
    <w:lvl w:ilvl="0">
      <w:lvlJc w:val="left"/>
      <w:lvlText w:val="(%1)"/>
      <w:numFmt w:val="lowerRoman"/>
      <w:start w:val="2"/>
    </w:lvl>
  </w:abstractNum>
  <w:abstractNum w:abstractNumId="36">
    <w:nsid w:val="1BA026FA"/>
    <w:multiLevelType w:val="hybridMultilevel"/>
    <w:lvl w:ilvl="0">
      <w:lvlJc w:val="left"/>
      <w:lvlText w:val="(%1)"/>
      <w:numFmt w:val="lowerLetter"/>
      <w:start w:val="7"/>
    </w:lvl>
    <w:lvl w:ilvl="1">
      <w:lvlJc w:val="left"/>
      <w:lvlText w:val="(%2)"/>
      <w:numFmt w:val="lowerRoman"/>
      <w:start w:val="1"/>
    </w:lvl>
  </w:abstractNum>
  <w:abstractNum w:abstractNumId="37">
    <w:nsid w:val="79A1DEAA"/>
    <w:multiLevelType w:val="hybridMultilevel"/>
    <w:lvl w:ilvl="0">
      <w:lvlJc w:val="left"/>
      <w:lvlText w:val="(%1)"/>
      <w:numFmt w:val="lowerRoman"/>
      <w:start w:val="2"/>
    </w:lvl>
  </w:abstractNum>
  <w:abstractNum w:abstractNumId="38">
    <w:nsid w:val="75C6C33A"/>
    <w:multiLevelType w:val="hybridMultilevel"/>
    <w:lvl w:ilvl="0">
      <w:lvlJc w:val="left"/>
      <w:lvlText w:val="(%1)"/>
      <w:numFmt w:val="lowerLetter"/>
      <w:start w:val="16"/>
    </w:lvl>
  </w:abstractNum>
  <w:abstractNum w:abstractNumId="39">
    <w:nsid w:val="12E685FB"/>
    <w:multiLevelType w:val="hybridMultilevel"/>
    <w:lvl w:ilvl="0">
      <w:lvlJc w:val="left"/>
      <w:lvlText w:val="(%1)"/>
      <w:numFmt w:val="lowerLetter"/>
      <w:start w:val="27"/>
    </w:lvl>
  </w:abstractNum>
  <w:abstractNum w:abstractNumId="40">
    <w:nsid w:val="70C6A529"/>
    <w:multiLevelType w:val="hybridMultilevel"/>
    <w:lvl w:ilvl="0">
      <w:lvlJc w:val="left"/>
      <w:lvlText w:val="(%1)"/>
      <w:numFmt w:val="lowerLetter"/>
      <w:start w:val="1"/>
    </w:lvl>
    <w:lvl w:ilvl="1">
      <w:lvlJc w:val="left"/>
      <w:lvlText w:val="(%2)"/>
      <w:numFmt w:val="lowerRoman"/>
      <w:start w:val="1"/>
    </w:lvl>
  </w:abstractNum>
  <w:abstractNum w:abstractNumId="41">
    <w:nsid w:val="520EEDD1"/>
    <w:multiLevelType w:val="hybridMultilevel"/>
    <w:lvl w:ilvl="0">
      <w:lvlJc w:val="left"/>
      <w:lvlText w:val="(%1)"/>
      <w:numFmt w:val="lowerRoman"/>
      <w:start w:val="3"/>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Letter"/>
      <w:start w:val="2"/>
    </w:lvl>
  </w:abstractNum>
  <w:abstractNum w:abstractNumId="46">
    <w:nsid w:val="275AC794"/>
    <w:multiLevelType w:val="hybridMultilevel"/>
    <w:lvl w:ilvl="0">
      <w:lvlJc w:val="left"/>
      <w:lvlText w:val="(%1)"/>
      <w:numFmt w:val="lowerLetter"/>
      <w:start w:val="6"/>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8"/>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Letter"/>
      <w:start w:val="7"/>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4"/>
    </w:lvl>
  </w:abstractNum>
  <w:abstractNum w:abstractNumId="53">
    <w:nsid w:val="15B5AF5C"/>
    <w:multiLevelType w:val="hybridMultilevel"/>
    <w:lvl w:ilvl="0">
      <w:lvlJc w:val="left"/>
      <w:lvlText w:val="(%1)"/>
      <w:numFmt w:val="lowerLetter"/>
      <w:start w:val="1"/>
    </w:lvl>
    <w:lvl w:ilvl="1">
      <w:lvlJc w:val="left"/>
      <w:lvlText w:val="(%2)"/>
      <w:numFmt w:val="lowerRoman"/>
      <w:start w:val="1"/>
    </w:lvl>
  </w:abstractNum>
  <w:abstractNum w:abstractNumId="54">
    <w:nsid w:val="741226BB"/>
    <w:multiLevelType w:val="hybridMultilevel"/>
    <w:lvl w:ilvl="0">
      <w:lvlJc w:val="left"/>
      <w:lvlText w:val="(%1)"/>
      <w:numFmt w:val="lowerLetter"/>
      <w:start w:val="4"/>
    </w:lvl>
  </w:abstractNum>
  <w:abstractNum w:abstractNumId="55">
    <w:nsid w:val="D34B6A8"/>
    <w:multiLevelType w:val="hybridMultilevel"/>
    <w:lvl w:ilvl="0">
      <w:lvlJc w:val="left"/>
      <w:lvlText w:val="(%1)"/>
      <w:numFmt w:val="lowerLetter"/>
      <w:start w:val="1"/>
    </w:lvl>
    <w:lvl w:ilvl="1">
      <w:lvlJc w:val="left"/>
      <w:lvlText w:val="(%2)"/>
      <w:numFmt w:val="lowerRoman"/>
      <w:start w:val="1"/>
    </w:lvl>
  </w:abstractNum>
  <w:abstractNum w:abstractNumId="56">
    <w:nsid w:val="10233C99"/>
    <w:multiLevelType w:val="hybridMultilevel"/>
    <w:lvl w:ilvl="0">
      <w:lvlJc w:val="left"/>
      <w:lvlText w:val="(%1)"/>
      <w:numFmt w:val="lowerLetter"/>
      <w:start w:val="2"/>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3"/>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lowerLetter"/>
      <w:start w:val="3"/>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78" Type="http://schemas.openxmlformats.org/officeDocument/2006/relationships/image" Target="media/image260.png"/><Relationship Id="rId291"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267" Type="http://schemas.openxmlformats.org/officeDocument/2006/relationships/hyperlink" Target="https://www.sec.gov/Archives/edgar/data/1451809/000119312519301287/d630610dex31.htm" TargetMode="External"/><Relationship Id="rId268" Type="http://schemas.openxmlformats.org/officeDocument/2006/relationships/hyperlink" Target="https://www.sec.gov/Archives/edgar/data/1451809/000119312520164650/d920552dex32.htm" TargetMode="External"/><Relationship Id="rId269" Type="http://schemas.openxmlformats.org/officeDocument/2006/relationships/hyperlink" Target="https://www.sec.gov/Archives/edgar/data/0001451809/000119312519272678/d701682dex41.htm" TargetMode="External"/><Relationship Id="rId270" Type="http://schemas.openxmlformats.org/officeDocument/2006/relationships/hyperlink" Target="https://www.sec.gov/Archives/edgar/data/1451809/000156459021005867/sitm-ex42_644.htm" TargetMode="External"/><Relationship Id="rId271" Type="http://schemas.openxmlformats.org/officeDocument/2006/relationships/hyperlink" Target="https://www.sec.gov/Archives/edgar/data/1451809/000156459021005867/sitm-ex101_291.htm" TargetMode="External"/><Relationship Id="rId272" Type="http://schemas.openxmlformats.org/officeDocument/2006/relationships/hyperlink" Target="https://www.sec.gov/Archives/edgar/data/1451809/000119312519287290/d701682dex102.htm" TargetMode="External"/><Relationship Id="rId273" Type="http://schemas.openxmlformats.org/officeDocument/2006/relationships/hyperlink" Target="https://www.sec.gov/Archives/edgar/data/0001451809/000119312519272678/d701682dex103.htm" TargetMode="External"/><Relationship Id="rId274" Type="http://schemas.openxmlformats.org/officeDocument/2006/relationships/hyperlink" Target="https://www.sec.gov/Archives/edgar/data/0001451809/000119312519272678/d701682dex104.htm" TargetMode="External"/><Relationship Id="rId275" Type="http://schemas.openxmlformats.org/officeDocument/2006/relationships/hyperlink" Target="https://www.sec.gov/Archives/edgar/data/0001451809/000119312519272678/d701682dex105.htm" TargetMode="External"/><Relationship Id="rId276" Type="http://schemas.openxmlformats.org/officeDocument/2006/relationships/hyperlink" Target="https://www.sec.gov/Archives/edgar/data/1451809/000119312519272678/d701682dex106.htm" TargetMode="External"/><Relationship Id="rId277" Type="http://schemas.openxmlformats.org/officeDocument/2006/relationships/hyperlink" Target="https://www.sec.gov/Archives/edgar/data/0001451809/000119312519272678/d701682dex107.htm" TargetMode="External"/><Relationship Id="rId279" Type="http://schemas.openxmlformats.org/officeDocument/2006/relationships/hyperlink" Target="https://www.sec.gov/Archives/edgar/data/1451809/000119312519272678/d701682dex108.htm" TargetMode="External"/><Relationship Id="rId280" Type="http://schemas.openxmlformats.org/officeDocument/2006/relationships/hyperlink" Target="https://www.sec.gov/Archives/edgar/data/1451809/000119312519287290/d701682dex109.htm" TargetMode="External"/><Relationship Id="rId281" Type="http://schemas.openxmlformats.org/officeDocument/2006/relationships/hyperlink" Target="https://www.sec.gov/Archives/edgar/data/0001451809/000119312519272678/d701682dex1016.htm" TargetMode="External"/><Relationship Id="rId282" Type="http://schemas.openxmlformats.org/officeDocument/2006/relationships/hyperlink" Target="https://www.sec.gov/Archives/edgar/data/1451809/000119312519272678/d701682dex1017.htm" TargetMode="External"/><Relationship Id="rId283" Type="http://schemas.openxmlformats.org/officeDocument/2006/relationships/hyperlink" Target="https://www.sec.gov/Archives/edgar/data/0001451809/000119312519272678/d701682dex1018.htm" TargetMode="External"/><Relationship Id="rId284" Type="http://schemas.openxmlformats.org/officeDocument/2006/relationships/hyperlink" Target="https://www.sec.gov/Archives/edgar/data/1451809/000119312519272678/d701682dex1019.htm" TargetMode="External"/><Relationship Id="rId285" Type="http://schemas.openxmlformats.org/officeDocument/2006/relationships/hyperlink" Target="https://www.sec.gov/Archives/edgar/data/0001451809/000119312519272678/d701682dex1020.htm" TargetMode="External"/><Relationship Id="rId286" Type="http://schemas.openxmlformats.org/officeDocument/2006/relationships/hyperlink" Target="https://www.sec.gov/Archives/edgar/data/1451809/000156459020022872/sitm-ex102_82.htm" TargetMode="External"/><Relationship Id="rId287" Type="http://schemas.openxmlformats.org/officeDocument/2006/relationships/hyperlink" Target="https://www.sec.gov/Archives/edgar/data/1451809/000119312520164650/d920552dex101.htm" TargetMode="External"/><Relationship Id="rId288" Type="http://schemas.openxmlformats.org/officeDocument/2006/relationships/hyperlink" Target="https://www.sec.gov/Archives/edgar/data/1451809/000156459020037732/sitm-ex102_208.htm" TargetMode="External"/><Relationship Id="rId289" Type="http://schemas.openxmlformats.org/officeDocument/2006/relationships/hyperlink" Target="https://www.sec.gov/Archives/edgar/data/1451809/000156459020037732/sitm-ex103_91.htm" TargetMode="External"/><Relationship Id="rId290" Type="http://schemas.openxmlformats.org/officeDocument/2006/relationships/hyperlink" Target="https://www.sec.gov/Archives/edgar/data/1451809/000156459021005867/sitm-ex1022_292.htm" TargetMode="External"/><Relationship Id="rId292" Type="http://schemas.openxmlformats.org/officeDocument/2006/relationships/hyperlink" Target="https://www.sec.gov/Archives/edgar/data/1451809/000156459021005867/sitm-ex1023_324.htm" TargetMode="External"/><Relationship Id="rId293" Type="http://schemas.openxmlformats.org/officeDocument/2006/relationships/hyperlink" Target="https://www.sec.gov/Archives/edgar/data/0001451809/000156459021017612/sitm-ex101_6.htm" TargetMode="External"/><Relationship Id="rId294" Type="http://schemas.openxmlformats.org/officeDocument/2006/relationships/hyperlink" Target="https://www.sec.gov/Archives/edgar/data/1451809/000156459021041560/sitm-ex102_97.htm" TargetMode="External"/><Relationship Id="rId295" Type="http://schemas.openxmlformats.org/officeDocument/2006/relationships/hyperlink" Target="https://www.sec.gov/Archives/edgar/data/1451809/000095017022002096/sitm-ex10_26.htm" TargetMode="External"/><Relationship Id="rId296" Type="http://schemas.openxmlformats.org/officeDocument/2006/relationships/hyperlink" Target="https://www.sec.gov/Archives/edgar/data/0001451809/000095017021003060/sitm-ex10_1.htm" TargetMode="External"/><Relationship Id="rId297" Type="http://schemas.openxmlformats.org/officeDocument/2006/relationships/hyperlink" Target="https://www.sec.gov/Archives/edgar/data/1451809/000095017022002096/sitm-ex10_28.htm" TargetMode="External"/><Relationship Id="rId298" Type="http://schemas.openxmlformats.org/officeDocument/2006/relationships/hyperlink" Target="https://www.sec.gov/Archives/edgar/data/1451809/000095017022002096/sitm-ex10_29.htm" TargetMode="External"/><Relationship Id="rId299" Type="http://schemas.openxmlformats.org/officeDocument/2006/relationships/hyperlink" Target="https://www.sec.gov/Archives/edgar/data/1451809/000095017022007391/sitm-ex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2023-02-27T18:38:49Z</dcterms:created>
  <dcterms:modified xsi:type="dcterms:W3CDTF">2023-02-27T18:38:49Z</dcterms:modified>
</cp:coreProperties>
</file>